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9"/>
        <w:gridCol w:w="1361"/>
        <w:gridCol w:w="1530"/>
        <w:gridCol w:w="2250"/>
        <w:gridCol w:w="3613"/>
      </w:tblGrid>
      <w:tr w:rsidR="000B5FA0" w14:paraId="7BCB6C18" w14:textId="77777777" w:rsidTr="00137260">
        <w:trPr>
          <w:trHeight w:val="1358"/>
        </w:trPr>
        <w:tc>
          <w:tcPr>
            <w:tcW w:w="1609" w:type="dxa"/>
          </w:tcPr>
          <w:p w14:paraId="1CA4C1D1" w14:textId="77777777" w:rsidR="000B5FA0" w:rsidRDefault="000B5FA0" w:rsidP="00DE3A7B">
            <w:r w:rsidRPr="00103FBD">
              <w:rPr>
                <w:rFonts w:ascii="Arial" w:hAnsi="Arial" w:cs="Arial"/>
                <w:noProof/>
                <w:sz w:val="20"/>
                <w:szCs w:val="20"/>
                <w:lang w:val="en-GB" w:eastAsia="en-GB"/>
              </w:rPr>
              <w:drawing>
                <wp:inline distT="0" distB="0" distL="0" distR="0" wp14:anchorId="06C87109" wp14:editId="52A520A3">
                  <wp:extent cx="819150" cy="1107793"/>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36538" t="28457" r="29167" b="10822"/>
                          <a:stretch>
                            <a:fillRect/>
                          </a:stretch>
                        </pic:blipFill>
                        <pic:spPr bwMode="auto">
                          <a:xfrm>
                            <a:off x="0" y="0"/>
                            <a:ext cx="835411" cy="1129784"/>
                          </a:xfrm>
                          <a:prstGeom prst="rect">
                            <a:avLst/>
                          </a:prstGeom>
                          <a:noFill/>
                          <a:ln w="9525">
                            <a:noFill/>
                            <a:miter lim="800000"/>
                            <a:headEnd/>
                            <a:tailEnd/>
                          </a:ln>
                        </pic:spPr>
                      </pic:pic>
                    </a:graphicData>
                  </a:graphic>
                </wp:inline>
              </w:drawing>
            </w:r>
          </w:p>
        </w:tc>
        <w:tc>
          <w:tcPr>
            <w:tcW w:w="1361" w:type="dxa"/>
          </w:tcPr>
          <w:p w14:paraId="098A8172" w14:textId="50D2DC37" w:rsidR="009E2235" w:rsidRPr="009E2235" w:rsidRDefault="00FF7527" w:rsidP="009E2235">
            <w:r w:rsidRPr="00FF7527">
              <w:rPr>
                <w:rFonts w:ascii="Times New Roman" w:eastAsia="Times New Roman" w:hAnsi="Times New Roman" w:cs="Times New Roman"/>
                <w:noProof/>
                <w:sz w:val="24"/>
                <w:szCs w:val="24"/>
                <w:lang w:val="en-GB" w:eastAsia="en-GB"/>
              </w:rPr>
              <w:drawing>
                <wp:inline distT="0" distB="0" distL="0" distR="0" wp14:anchorId="4457137B" wp14:editId="79D6F73D">
                  <wp:extent cx="786809" cy="801576"/>
                  <wp:effectExtent l="0" t="0" r="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88811" cy="803616"/>
                          </a:xfrm>
                          <a:prstGeom prst="rect">
                            <a:avLst/>
                          </a:prstGeom>
                          <a:noFill/>
                        </pic:spPr>
                      </pic:pic>
                    </a:graphicData>
                  </a:graphic>
                </wp:inline>
              </w:drawing>
            </w:r>
          </w:p>
          <w:p w14:paraId="77AC21A6" w14:textId="10B7C306" w:rsidR="000B5FA0" w:rsidRDefault="000B5FA0" w:rsidP="00137260"/>
        </w:tc>
        <w:tc>
          <w:tcPr>
            <w:tcW w:w="1530" w:type="dxa"/>
          </w:tcPr>
          <w:p w14:paraId="2193DC63" w14:textId="77777777" w:rsidR="000B5FA0" w:rsidRDefault="000B5FA0" w:rsidP="00137260">
            <w:pPr>
              <w:jc w:val="center"/>
            </w:pPr>
            <w:r w:rsidRPr="002A675E">
              <w:rPr>
                <w:rFonts w:cs="Arial"/>
                <w:noProof/>
                <w:sz w:val="19"/>
                <w:szCs w:val="19"/>
                <w:lang w:val="en-GB" w:eastAsia="en-GB"/>
              </w:rPr>
              <w:drawing>
                <wp:inline distT="0" distB="0" distL="0" distR="0" wp14:anchorId="4B5DC6FC" wp14:editId="26CF6867">
                  <wp:extent cx="515938" cy="619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5944" cy="619132"/>
                          </a:xfrm>
                          <a:prstGeom prst="rect">
                            <a:avLst/>
                          </a:prstGeom>
                          <a:noFill/>
                          <a:ln>
                            <a:noFill/>
                          </a:ln>
                        </pic:spPr>
                      </pic:pic>
                    </a:graphicData>
                  </a:graphic>
                </wp:inline>
              </w:drawing>
            </w:r>
          </w:p>
        </w:tc>
        <w:tc>
          <w:tcPr>
            <w:tcW w:w="2250" w:type="dxa"/>
          </w:tcPr>
          <w:p w14:paraId="407A77D7" w14:textId="77777777" w:rsidR="000B5FA0" w:rsidRDefault="000B5FA0" w:rsidP="00137260"/>
        </w:tc>
        <w:tc>
          <w:tcPr>
            <w:tcW w:w="3613" w:type="dxa"/>
            <w:vMerge w:val="restart"/>
          </w:tcPr>
          <w:p w14:paraId="35543D96" w14:textId="77777777" w:rsidR="000B5FA0" w:rsidRDefault="000B5FA0" w:rsidP="00137260">
            <w:pPr>
              <w:jc w:val="right"/>
            </w:pPr>
            <w:r>
              <w:rPr>
                <w:noProof/>
                <w:lang w:val="en-GB" w:eastAsia="en-GB"/>
              </w:rPr>
              <w:drawing>
                <wp:inline distT="0" distB="0" distL="0" distR="0" wp14:anchorId="22AF1A39" wp14:editId="7DE51081">
                  <wp:extent cx="2210503" cy="23105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d.png"/>
                          <pic:cNvPicPr/>
                        </pic:nvPicPr>
                        <pic:blipFill rotWithShape="1">
                          <a:blip r:embed="rId12" cstate="print">
                            <a:extLst>
                              <a:ext uri="{28A0092B-C50C-407E-A947-70E740481C1C}">
                                <a14:useLocalDpi xmlns:a14="http://schemas.microsoft.com/office/drawing/2010/main" val="0"/>
                              </a:ext>
                            </a:extLst>
                          </a:blip>
                          <a:srcRect l="962" t="5955"/>
                          <a:stretch/>
                        </pic:blipFill>
                        <pic:spPr bwMode="auto">
                          <a:xfrm flipH="1">
                            <a:off x="0" y="0"/>
                            <a:ext cx="2210503" cy="2310552"/>
                          </a:xfrm>
                          <a:prstGeom prst="rect">
                            <a:avLst/>
                          </a:prstGeom>
                          <a:ln>
                            <a:noFill/>
                          </a:ln>
                          <a:extLst>
                            <a:ext uri="{53640926-AAD7-44D8-BBD7-CCE9431645EC}">
                              <a14:shadowObscured xmlns:a14="http://schemas.microsoft.com/office/drawing/2010/main"/>
                            </a:ext>
                          </a:extLst>
                        </pic:spPr>
                      </pic:pic>
                    </a:graphicData>
                  </a:graphic>
                </wp:inline>
              </w:drawing>
            </w:r>
          </w:p>
        </w:tc>
      </w:tr>
      <w:tr w:rsidR="000B5FA0" w:rsidRPr="00140C6A" w14:paraId="5D0BB205" w14:textId="77777777" w:rsidTr="00137260">
        <w:trPr>
          <w:trHeight w:val="2222"/>
        </w:trPr>
        <w:tc>
          <w:tcPr>
            <w:tcW w:w="6750" w:type="dxa"/>
            <w:gridSpan w:val="4"/>
          </w:tcPr>
          <w:p w14:paraId="45FED54C" w14:textId="1EF75216" w:rsidR="000B5FA0" w:rsidRPr="006F64DA" w:rsidRDefault="00AF117C" w:rsidP="00207E58">
            <w:pPr>
              <w:ind w:left="1493"/>
              <w:jc w:val="both"/>
              <w:rPr>
                <w:b/>
                <w:color w:val="0070C0"/>
                <w:sz w:val="48"/>
                <w:lang w:val="fr-FR"/>
              </w:rPr>
            </w:pPr>
            <w:r>
              <w:rPr>
                <w:b/>
                <w:color w:val="0070C0"/>
                <w:sz w:val="48"/>
                <w:lang w:val="fr-FR"/>
              </w:rPr>
              <w:t>Mali</w:t>
            </w:r>
            <w:r w:rsidR="000B5FA0" w:rsidRPr="006F64DA">
              <w:rPr>
                <w:b/>
                <w:color w:val="0070C0"/>
                <w:sz w:val="48"/>
                <w:lang w:val="fr-FR"/>
              </w:rPr>
              <w:t xml:space="preserve">: </w:t>
            </w:r>
          </w:p>
          <w:p w14:paraId="0D9007A1" w14:textId="650D91F1" w:rsidR="000B5FA0" w:rsidRPr="00A515C3" w:rsidRDefault="006F64DA" w:rsidP="00207E58">
            <w:pPr>
              <w:ind w:left="1493"/>
              <w:rPr>
                <w:b/>
                <w:color w:val="0070C0"/>
                <w:sz w:val="52"/>
                <w:szCs w:val="24"/>
                <w:lang w:val="fr-FR"/>
              </w:rPr>
            </w:pPr>
            <w:r w:rsidRPr="00A515C3">
              <w:rPr>
                <w:b/>
                <w:color w:val="0070C0"/>
                <w:sz w:val="44"/>
                <w:szCs w:val="20"/>
                <w:lang w:val="fr-FR"/>
              </w:rPr>
              <w:t>Atténuation des</w:t>
            </w:r>
            <w:r w:rsidR="00A515C3" w:rsidRPr="00A515C3">
              <w:rPr>
                <w:b/>
                <w:color w:val="0070C0"/>
                <w:sz w:val="44"/>
                <w:szCs w:val="20"/>
                <w:lang w:val="fr-FR"/>
              </w:rPr>
              <w:t xml:space="preserve"> risques</w:t>
            </w:r>
            <w:r w:rsidR="003A58C4" w:rsidRPr="00A515C3">
              <w:rPr>
                <w:color w:val="0070C0"/>
                <w:sz w:val="44"/>
                <w:szCs w:val="20"/>
                <w:lang w:val="fr-FR"/>
              </w:rPr>
              <w:t xml:space="preserve">                </w:t>
            </w:r>
            <w:r w:rsidR="00F77964" w:rsidRPr="00A515C3">
              <w:rPr>
                <w:color w:val="0070C0"/>
                <w:sz w:val="44"/>
                <w:szCs w:val="20"/>
                <w:lang w:val="fr-FR"/>
              </w:rPr>
              <w:t xml:space="preserve">                                           </w:t>
            </w:r>
            <w:r w:rsidR="003A58C4" w:rsidRPr="00A515C3">
              <w:rPr>
                <w:b/>
                <w:color w:val="0070C0"/>
                <w:sz w:val="44"/>
                <w:szCs w:val="20"/>
                <w:lang w:val="fr-FR"/>
              </w:rPr>
              <w:t>des investissements dans les énergies renouvelables</w:t>
            </w:r>
          </w:p>
          <w:p w14:paraId="69815539" w14:textId="2C928CDF" w:rsidR="000B5FA0" w:rsidRPr="00207E58" w:rsidRDefault="000B5FA0" w:rsidP="00137260">
            <w:pPr>
              <w:spacing w:before="120"/>
              <w:rPr>
                <w:color w:val="0070C0"/>
                <w:sz w:val="28"/>
                <w:lang w:val="fr-FR"/>
              </w:rPr>
            </w:pPr>
            <w:r>
              <w:rPr>
                <w:noProof/>
                <w:color w:val="0070C0"/>
                <w:sz w:val="46"/>
                <w:lang w:val="en-GB" w:eastAsia="en-GB"/>
              </w:rPr>
              <mc:AlternateContent>
                <mc:Choice Requires="wps">
                  <w:drawing>
                    <wp:anchor distT="0" distB="0" distL="114300" distR="114300" simplePos="0" relativeHeight="251659264" behindDoc="0" locked="0" layoutInCell="1" allowOverlap="1" wp14:anchorId="048F6001" wp14:editId="0B62B2F3">
                      <wp:simplePos x="0" y="0"/>
                      <wp:positionH relativeFrom="column">
                        <wp:posOffset>1265714</wp:posOffset>
                      </wp:positionH>
                      <wp:positionV relativeFrom="paragraph">
                        <wp:posOffset>8255</wp:posOffset>
                      </wp:positionV>
                      <wp:extent cx="292671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92671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525A51" id="Straight Connector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9.65pt,.65pt" to="330.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" strokecolor="#4472c4 [3204]" strokeweight="1pt">
                      <v:stroke joinstyle="miter"/>
                    </v:line>
                  </w:pict>
                </mc:Fallback>
              </mc:AlternateContent>
            </w:r>
            <w:r w:rsidRPr="00F77964">
              <w:rPr>
                <w:color w:val="0070C0"/>
                <w:sz w:val="46"/>
                <w:lang w:val="fr-FR"/>
              </w:rPr>
              <w:t xml:space="preserve">                    </w:t>
            </w:r>
            <w:r w:rsidR="00C50BB4">
              <w:rPr>
                <w:sz w:val="28"/>
                <w:lang w:val="fr-FR"/>
              </w:rPr>
              <w:t>Points-clés</w:t>
            </w:r>
            <w:r w:rsidR="00BB2FA4" w:rsidRPr="00207E58">
              <w:rPr>
                <w:sz w:val="28"/>
                <w:lang w:val="fr-FR"/>
              </w:rPr>
              <w:t xml:space="preserve"> pour les décideurs</w:t>
            </w:r>
            <w:r>
              <w:rPr>
                <w:rStyle w:val="FootnoteReference"/>
                <w:sz w:val="28"/>
              </w:rPr>
              <w:footnoteReference w:id="1"/>
            </w:r>
          </w:p>
        </w:tc>
        <w:tc>
          <w:tcPr>
            <w:tcW w:w="3613" w:type="dxa"/>
            <w:vMerge/>
          </w:tcPr>
          <w:p w14:paraId="21AF4C38" w14:textId="77777777" w:rsidR="000B5FA0" w:rsidRPr="00207E58" w:rsidRDefault="000B5FA0" w:rsidP="00137260">
            <w:pPr>
              <w:jc w:val="right"/>
              <w:rPr>
                <w:noProof/>
                <w:lang w:val="fr-FR"/>
              </w:rPr>
            </w:pPr>
          </w:p>
        </w:tc>
      </w:tr>
    </w:tbl>
    <w:p w14:paraId="24B95411" w14:textId="77777777" w:rsidR="000B5FA0" w:rsidRPr="00207E58" w:rsidRDefault="000B5FA0" w:rsidP="000B5FA0">
      <w:pPr>
        <w:spacing w:after="0" w:line="276" w:lineRule="auto"/>
        <w:rPr>
          <w:rFonts w:ascii="Arial" w:hAnsi="Arial" w:cs="Arial"/>
          <w:sz w:val="18"/>
          <w:szCs w:val="18"/>
          <w:lang w:val="fr-FR"/>
        </w:rPr>
      </w:pPr>
    </w:p>
    <w:p w14:paraId="74DAD961" w14:textId="77777777" w:rsidR="000B5FA0" w:rsidRPr="00207E58" w:rsidRDefault="000B5FA0" w:rsidP="000B5FA0">
      <w:pPr>
        <w:spacing w:after="0" w:line="276" w:lineRule="auto"/>
        <w:rPr>
          <w:rFonts w:ascii="Arial" w:hAnsi="Arial" w:cs="Arial"/>
          <w:sz w:val="18"/>
          <w:szCs w:val="18"/>
          <w:lang w:val="fr-FR"/>
        </w:rPr>
      </w:pPr>
    </w:p>
    <w:p w14:paraId="0AD249D7" w14:textId="3721FED6" w:rsidR="000B5FA0" w:rsidRPr="00D34320" w:rsidRDefault="00D34320" w:rsidP="000B5FA0">
      <w:pPr>
        <w:spacing w:after="0" w:line="276" w:lineRule="auto"/>
        <w:jc w:val="both"/>
        <w:rPr>
          <w:rFonts w:ascii="Arial" w:hAnsi="Arial" w:cs="Arial"/>
          <w:sz w:val="18"/>
          <w:szCs w:val="20"/>
          <w:lang w:val="fr-FR"/>
        </w:rPr>
      </w:pPr>
      <w:r w:rsidRPr="00D34320">
        <w:rPr>
          <w:rFonts w:ascii="Arial" w:hAnsi="Arial" w:cs="Arial"/>
          <w:sz w:val="18"/>
          <w:szCs w:val="20"/>
          <w:lang w:val="fr-FR"/>
        </w:rPr>
        <w:t xml:space="preserve">L’objectif de cette étude est de proposer les mesures d’atténuation des risques avec la </w:t>
      </w:r>
      <w:r w:rsidR="00154912" w:rsidRPr="00D34320">
        <w:rPr>
          <w:rFonts w:ascii="Arial" w:hAnsi="Arial" w:cs="Arial"/>
          <w:sz w:val="18"/>
          <w:szCs w:val="20"/>
          <w:lang w:val="fr-FR"/>
        </w:rPr>
        <w:t>meilleure</w:t>
      </w:r>
      <w:r w:rsidRPr="00D34320">
        <w:rPr>
          <w:rFonts w:ascii="Arial" w:hAnsi="Arial" w:cs="Arial"/>
          <w:sz w:val="18"/>
          <w:szCs w:val="20"/>
          <w:lang w:val="fr-FR"/>
        </w:rPr>
        <w:t xml:space="preserve"> relation coût-bénéfice afin de promouvoir</w:t>
      </w:r>
      <w:r w:rsidR="005D6760">
        <w:rPr>
          <w:rFonts w:ascii="Arial" w:hAnsi="Arial" w:cs="Arial"/>
          <w:sz w:val="18"/>
          <w:szCs w:val="20"/>
          <w:lang w:val="fr-FR"/>
        </w:rPr>
        <w:t xml:space="preserve"> les investissements </w:t>
      </w:r>
      <w:r w:rsidRPr="00D34320">
        <w:rPr>
          <w:rFonts w:ascii="Arial" w:hAnsi="Arial" w:cs="Arial"/>
          <w:sz w:val="18"/>
          <w:szCs w:val="20"/>
          <w:lang w:val="fr-FR"/>
        </w:rPr>
        <w:t>privé</w:t>
      </w:r>
      <w:r w:rsidR="005D6760">
        <w:rPr>
          <w:rFonts w:ascii="Arial" w:hAnsi="Arial" w:cs="Arial"/>
          <w:sz w:val="18"/>
          <w:szCs w:val="20"/>
          <w:lang w:val="fr-FR"/>
        </w:rPr>
        <w:t>s</w:t>
      </w:r>
      <w:r w:rsidRPr="00D34320">
        <w:rPr>
          <w:rFonts w:ascii="Arial" w:hAnsi="Arial" w:cs="Arial"/>
          <w:sz w:val="18"/>
          <w:szCs w:val="20"/>
          <w:lang w:val="fr-FR"/>
        </w:rPr>
        <w:t xml:space="preserve"> dans les mini-réseaux</w:t>
      </w:r>
      <w:r w:rsidR="004A39C4">
        <w:rPr>
          <w:rFonts w:ascii="Arial" w:hAnsi="Arial" w:cs="Arial"/>
          <w:sz w:val="18"/>
          <w:szCs w:val="20"/>
          <w:lang w:val="fr-FR"/>
        </w:rPr>
        <w:t xml:space="preserve"> (MR)</w:t>
      </w:r>
      <w:r w:rsidRPr="00D34320">
        <w:rPr>
          <w:rFonts w:ascii="Arial" w:hAnsi="Arial" w:cs="Arial"/>
          <w:sz w:val="18"/>
          <w:szCs w:val="20"/>
          <w:lang w:val="fr-FR"/>
        </w:rPr>
        <w:t xml:space="preserve"> solaires photovoltaïques </w:t>
      </w:r>
      <w:r w:rsidR="004A39C4">
        <w:rPr>
          <w:rFonts w:ascii="Arial" w:hAnsi="Arial" w:cs="Arial"/>
          <w:sz w:val="18"/>
          <w:szCs w:val="20"/>
          <w:lang w:val="fr-FR"/>
        </w:rPr>
        <w:t xml:space="preserve">(PV) </w:t>
      </w:r>
      <w:r w:rsidRPr="00D34320">
        <w:rPr>
          <w:rFonts w:ascii="Arial" w:hAnsi="Arial" w:cs="Arial"/>
          <w:sz w:val="18"/>
          <w:szCs w:val="20"/>
          <w:lang w:val="fr-FR"/>
        </w:rPr>
        <w:t xml:space="preserve">avec batteries au </w:t>
      </w:r>
      <w:r w:rsidR="00AF117C">
        <w:rPr>
          <w:rFonts w:ascii="Arial" w:hAnsi="Arial" w:cs="Arial"/>
          <w:sz w:val="18"/>
          <w:szCs w:val="20"/>
          <w:lang w:val="fr-FR"/>
        </w:rPr>
        <w:t>Mali</w:t>
      </w:r>
      <w:r w:rsidRPr="00D34320">
        <w:rPr>
          <w:rFonts w:ascii="Arial" w:hAnsi="Arial" w:cs="Arial"/>
          <w:sz w:val="18"/>
          <w:szCs w:val="20"/>
          <w:lang w:val="fr-FR"/>
        </w:rPr>
        <w:t>. L'étude présente les résultats d'une analyse de modélisation quantitative fondée sur les risques aux investissements. Les données de modélisation ont été obtenues à partir d'entretiens structurés avec des investisseurs et de</w:t>
      </w:r>
      <w:r w:rsidR="005D6760">
        <w:rPr>
          <w:rFonts w:ascii="Arial" w:hAnsi="Arial" w:cs="Arial"/>
          <w:sz w:val="18"/>
          <w:szCs w:val="20"/>
          <w:lang w:val="fr-FR"/>
        </w:rPr>
        <w:t>s développeurs du secteur privé, et les institutions publiques qui sont impliquées dans l’électrification rurale au Mali à travers la mise sur pied d’un groupe de travail technique.</w:t>
      </w:r>
    </w:p>
    <w:p w14:paraId="40676A4A" w14:textId="77777777" w:rsidR="000B5FA0" w:rsidRPr="00D34320" w:rsidRDefault="000B5FA0" w:rsidP="000B5FA0">
      <w:pPr>
        <w:spacing w:after="0" w:line="276" w:lineRule="auto"/>
        <w:jc w:val="both"/>
        <w:rPr>
          <w:rFonts w:ascii="Arial" w:hAnsi="Arial" w:cs="Arial"/>
          <w:sz w:val="18"/>
          <w:szCs w:val="20"/>
          <w:lang w:val="fr-FR"/>
        </w:rPr>
      </w:pPr>
    </w:p>
    <w:p w14:paraId="5A6560AA" w14:textId="1281966D" w:rsidR="000B5FA0" w:rsidRPr="00154912" w:rsidRDefault="00154912" w:rsidP="000B5FA0">
      <w:pPr>
        <w:spacing w:after="0" w:line="276" w:lineRule="auto"/>
        <w:jc w:val="both"/>
        <w:rPr>
          <w:rFonts w:ascii="Arial" w:hAnsi="Arial" w:cs="Arial"/>
          <w:sz w:val="18"/>
          <w:szCs w:val="20"/>
          <w:lang w:val="fr-FR"/>
        </w:rPr>
      </w:pPr>
      <w:r w:rsidRPr="00154912">
        <w:rPr>
          <w:rFonts w:ascii="Arial" w:hAnsi="Arial" w:cs="Arial"/>
          <w:sz w:val="18"/>
          <w:szCs w:val="20"/>
          <w:lang w:val="fr-FR"/>
        </w:rPr>
        <w:t>L’étude a été réalisée en coordination ave</w:t>
      </w:r>
      <w:r>
        <w:rPr>
          <w:rFonts w:ascii="Arial" w:hAnsi="Arial" w:cs="Arial"/>
          <w:sz w:val="18"/>
          <w:szCs w:val="20"/>
          <w:lang w:val="fr-FR"/>
        </w:rPr>
        <w:t>c</w:t>
      </w:r>
      <w:r w:rsidR="000B5FA0" w:rsidRPr="00154912">
        <w:rPr>
          <w:rFonts w:ascii="Arial" w:hAnsi="Arial" w:cs="Arial"/>
          <w:sz w:val="18"/>
          <w:szCs w:val="20"/>
          <w:lang w:val="fr-FR"/>
        </w:rPr>
        <w:t xml:space="preserve"> </w:t>
      </w:r>
      <w:r w:rsidR="00FF7527">
        <w:rPr>
          <w:rFonts w:ascii="Arial" w:hAnsi="Arial" w:cs="Arial"/>
          <w:sz w:val="18"/>
          <w:szCs w:val="20"/>
          <w:lang w:val="fr-FR"/>
        </w:rPr>
        <w:t>la Direction Nationale de L’Energie (DNE) sous la tutelle du Ministère de L’Energie et de L’Eau (MEE), l’Agence Malienne pour le Développement de l’Energie Domestique et de l’Electrification Rurale (AMADER), l’Agence des Energies Renouvelables du Mali (AER-Mali) et la Commission de Régulation de l’Electricité et de l’Eau (CREE).</w:t>
      </w:r>
    </w:p>
    <w:p w14:paraId="7E3A340B" w14:textId="551988CE" w:rsidR="000B5FA0" w:rsidRPr="00154912" w:rsidRDefault="000B5FA0" w:rsidP="000B5FA0">
      <w:pPr>
        <w:spacing w:before="120" w:after="0" w:line="240" w:lineRule="auto"/>
        <w:rPr>
          <w:color w:val="0070C0"/>
          <w:sz w:val="28"/>
          <w:lang w:val="fr-FR"/>
        </w:rPr>
      </w:pPr>
      <w:r w:rsidRPr="00154912">
        <w:rPr>
          <w:color w:val="0070C0"/>
          <w:sz w:val="28"/>
          <w:lang w:val="fr-FR"/>
        </w:rPr>
        <w:t>Context</w:t>
      </w:r>
      <w:r w:rsidR="00154912" w:rsidRPr="00154912">
        <w:rPr>
          <w:color w:val="0070C0"/>
          <w:sz w:val="28"/>
          <w:lang w:val="fr-FR"/>
        </w:rPr>
        <w:t>e</w:t>
      </w:r>
      <w:r w:rsidRPr="00154912">
        <w:rPr>
          <w:color w:val="0070C0"/>
          <w:sz w:val="28"/>
          <w:lang w:val="fr-FR"/>
        </w:rPr>
        <w:t xml:space="preserve"> </w:t>
      </w:r>
      <w:r w:rsidR="00154912" w:rsidRPr="00154912">
        <w:rPr>
          <w:color w:val="0070C0"/>
          <w:sz w:val="28"/>
          <w:lang w:val="fr-FR"/>
        </w:rPr>
        <w:t>et opportunités pour les mini-ré</w:t>
      </w:r>
      <w:r w:rsidR="00154912">
        <w:rPr>
          <w:color w:val="0070C0"/>
          <w:sz w:val="28"/>
          <w:lang w:val="fr-FR"/>
        </w:rPr>
        <w:t>seaux solaires PV/batteries</w:t>
      </w:r>
      <w:r w:rsidRPr="00154912">
        <w:rPr>
          <w:color w:val="0070C0"/>
          <w:sz w:val="28"/>
          <w:lang w:val="fr-FR"/>
        </w:rPr>
        <w:t xml:space="preserve"> </w:t>
      </w:r>
    </w:p>
    <w:p w14:paraId="19EB857B" w14:textId="77777777" w:rsidR="000B5FA0" w:rsidRPr="00154912" w:rsidRDefault="000B5FA0" w:rsidP="000B5FA0">
      <w:pPr>
        <w:spacing w:after="0"/>
        <w:rPr>
          <w:rFonts w:ascii="Arial" w:hAnsi="Arial" w:cs="Arial"/>
          <w:sz w:val="20"/>
          <w:szCs w:val="20"/>
          <w:lang w:val="fr-FR"/>
        </w:rPr>
      </w:pPr>
    </w:p>
    <w:p w14:paraId="31EAD4C3" w14:textId="0B09C55F" w:rsidR="004A39C4" w:rsidRPr="004A39C4" w:rsidRDefault="003F1AAB" w:rsidP="004A39C4">
      <w:pPr>
        <w:spacing w:after="0" w:line="276" w:lineRule="auto"/>
        <w:jc w:val="both"/>
        <w:rPr>
          <w:rFonts w:ascii="Arial" w:hAnsi="Arial" w:cs="Arial"/>
          <w:sz w:val="18"/>
          <w:szCs w:val="20"/>
          <w:lang w:val="fr-FR"/>
        </w:rPr>
      </w:pPr>
      <w:r w:rsidRPr="003F1AAB">
        <w:rPr>
          <w:rFonts w:ascii="Arial" w:hAnsi="Arial" w:cs="Arial"/>
          <w:sz w:val="18"/>
          <w:szCs w:val="20"/>
          <w:lang w:val="fr-FR"/>
        </w:rPr>
        <w:t xml:space="preserve">Le secteur de l’électricité au </w:t>
      </w:r>
      <w:r w:rsidR="00AF117C">
        <w:rPr>
          <w:rFonts w:ascii="Arial" w:hAnsi="Arial" w:cs="Arial"/>
          <w:sz w:val="18"/>
          <w:szCs w:val="20"/>
          <w:lang w:val="fr-FR"/>
        </w:rPr>
        <w:t>Mali</w:t>
      </w:r>
      <w:r w:rsidRPr="003F1AAB">
        <w:rPr>
          <w:rFonts w:ascii="Arial" w:hAnsi="Arial" w:cs="Arial"/>
          <w:sz w:val="18"/>
          <w:szCs w:val="20"/>
          <w:lang w:val="fr-FR"/>
        </w:rPr>
        <w:t xml:space="preserve"> est caractérisé par une fo</w:t>
      </w:r>
      <w:r>
        <w:rPr>
          <w:rFonts w:ascii="Arial" w:hAnsi="Arial" w:cs="Arial"/>
          <w:sz w:val="18"/>
          <w:szCs w:val="20"/>
          <w:lang w:val="fr-FR"/>
        </w:rPr>
        <w:t>rte dépendance des importations</w:t>
      </w:r>
      <w:r w:rsidR="00E2683E">
        <w:rPr>
          <w:rFonts w:ascii="Arial" w:hAnsi="Arial" w:cs="Arial"/>
          <w:sz w:val="18"/>
          <w:szCs w:val="20"/>
          <w:lang w:val="fr-FR"/>
        </w:rPr>
        <w:t xml:space="preserve"> des carburants fossiles pour la production thermique.</w:t>
      </w:r>
      <w:r w:rsidR="004A39C4">
        <w:rPr>
          <w:rFonts w:ascii="Arial" w:hAnsi="Arial" w:cs="Arial"/>
          <w:sz w:val="18"/>
          <w:szCs w:val="20"/>
          <w:lang w:val="fr-FR"/>
        </w:rPr>
        <w:t xml:space="preserve"> En 2020,</w:t>
      </w:r>
      <w:r w:rsidR="00E2683E">
        <w:rPr>
          <w:rFonts w:ascii="Arial" w:hAnsi="Arial" w:cs="Arial"/>
          <w:sz w:val="18"/>
          <w:szCs w:val="20"/>
          <w:lang w:val="fr-FR"/>
        </w:rPr>
        <w:t xml:space="preserve"> </w:t>
      </w:r>
      <w:r w:rsidR="004A39C4">
        <w:rPr>
          <w:rFonts w:ascii="Arial" w:hAnsi="Arial" w:cs="Arial"/>
          <w:sz w:val="18"/>
          <w:szCs w:val="20"/>
          <w:lang w:val="fr-FR"/>
        </w:rPr>
        <w:t>la capacité de production électrique était de 1</w:t>
      </w:r>
      <w:r w:rsidR="004A39C4" w:rsidRPr="004A39C4">
        <w:rPr>
          <w:rFonts w:ascii="Arial" w:hAnsi="Arial" w:cs="Arial"/>
          <w:sz w:val="18"/>
          <w:szCs w:val="20"/>
          <w:lang w:val="fr-FR"/>
        </w:rPr>
        <w:t xml:space="preserve">024,92 MW, dont 835 MW pour </w:t>
      </w:r>
      <w:r w:rsidR="004A39C4">
        <w:rPr>
          <w:rFonts w:ascii="Arial" w:hAnsi="Arial" w:cs="Arial"/>
          <w:sz w:val="18"/>
          <w:szCs w:val="20"/>
          <w:lang w:val="fr-FR"/>
        </w:rPr>
        <w:t>l’</w:t>
      </w:r>
      <w:r w:rsidR="004A39C4" w:rsidRPr="004A39C4">
        <w:rPr>
          <w:rFonts w:ascii="Arial" w:hAnsi="Arial" w:cs="Arial"/>
          <w:sz w:val="18"/>
          <w:szCs w:val="20"/>
          <w:lang w:val="fr-FR"/>
        </w:rPr>
        <w:t>ensemble</w:t>
      </w:r>
      <w:r w:rsidR="004A39C4">
        <w:rPr>
          <w:rFonts w:ascii="Arial" w:hAnsi="Arial" w:cs="Arial"/>
          <w:sz w:val="18"/>
          <w:szCs w:val="20"/>
          <w:lang w:val="fr-FR"/>
        </w:rPr>
        <w:t xml:space="preserve"> de</w:t>
      </w:r>
      <w:r w:rsidR="004A39C4" w:rsidRPr="004A39C4">
        <w:rPr>
          <w:rFonts w:ascii="Arial" w:hAnsi="Arial" w:cs="Arial"/>
          <w:sz w:val="18"/>
          <w:szCs w:val="20"/>
          <w:lang w:val="fr-FR"/>
        </w:rPr>
        <w:t xml:space="preserve"> EDM-SA (reparti</w:t>
      </w:r>
      <w:r w:rsidR="004A39C4">
        <w:rPr>
          <w:rFonts w:ascii="Arial" w:hAnsi="Arial" w:cs="Arial"/>
          <w:sz w:val="18"/>
          <w:szCs w:val="20"/>
          <w:lang w:val="fr-FR"/>
        </w:rPr>
        <w:t>e en</w:t>
      </w:r>
      <w:r w:rsidR="004A39C4" w:rsidRPr="004A39C4">
        <w:rPr>
          <w:rFonts w:ascii="Arial" w:hAnsi="Arial" w:cs="Arial"/>
          <w:sz w:val="18"/>
          <w:szCs w:val="20"/>
          <w:lang w:val="fr-FR"/>
        </w:rPr>
        <w:t xml:space="preserve"> 183,7 MW hydro; 598,62 MW thermique et 53 MW solaire PV); 162 MW pour les auto-producteurs (considérée tout thermique) et 27 MW pour les Opérateurs AMADER (repartie pour 19</w:t>
      </w:r>
      <w:r w:rsidR="006661A8">
        <w:rPr>
          <w:rFonts w:ascii="Arial" w:hAnsi="Arial" w:cs="Arial"/>
          <w:sz w:val="18"/>
          <w:szCs w:val="20"/>
          <w:lang w:val="fr-FR"/>
        </w:rPr>
        <w:t xml:space="preserve"> MW thermique et 8 MW</w:t>
      </w:r>
      <w:r w:rsidR="004A39C4">
        <w:rPr>
          <w:rFonts w:ascii="Arial" w:hAnsi="Arial" w:cs="Arial"/>
          <w:sz w:val="18"/>
          <w:szCs w:val="20"/>
          <w:lang w:val="fr-FR"/>
        </w:rPr>
        <w:t xml:space="preserve"> solaire</w:t>
      </w:r>
      <w:r w:rsidR="006661A8">
        <w:rPr>
          <w:rFonts w:ascii="Arial" w:hAnsi="Arial" w:cs="Arial"/>
          <w:sz w:val="18"/>
          <w:szCs w:val="20"/>
          <w:lang w:val="fr-FR"/>
        </w:rPr>
        <w:t xml:space="preserve"> PV</w:t>
      </w:r>
      <w:r w:rsidR="004A39C4">
        <w:rPr>
          <w:rFonts w:ascii="Arial" w:hAnsi="Arial" w:cs="Arial"/>
          <w:sz w:val="18"/>
          <w:szCs w:val="20"/>
          <w:lang w:val="fr-FR"/>
        </w:rPr>
        <w:t xml:space="preserve">). La production électrique était de 2577,44 </w:t>
      </w:r>
      <w:proofErr w:type="spellStart"/>
      <w:r w:rsidR="004A39C4">
        <w:rPr>
          <w:rFonts w:ascii="Arial" w:hAnsi="Arial" w:cs="Arial"/>
          <w:sz w:val="18"/>
          <w:szCs w:val="20"/>
          <w:lang w:val="fr-FR"/>
        </w:rPr>
        <w:t>GWh</w:t>
      </w:r>
      <w:proofErr w:type="spellEnd"/>
      <w:r w:rsidR="004A39C4">
        <w:rPr>
          <w:rFonts w:ascii="Arial" w:hAnsi="Arial" w:cs="Arial"/>
          <w:sz w:val="18"/>
          <w:szCs w:val="20"/>
          <w:lang w:val="fr-FR"/>
        </w:rPr>
        <w:t xml:space="preserve"> (</w:t>
      </w:r>
      <w:r w:rsidR="006661A8">
        <w:rPr>
          <w:rFonts w:ascii="Arial" w:hAnsi="Arial" w:cs="Arial"/>
          <w:sz w:val="18"/>
          <w:szCs w:val="20"/>
          <w:lang w:val="fr-FR"/>
        </w:rPr>
        <w:t>69% thermique ; 26,8% hydro ; 4,2% solaire PV</w:t>
      </w:r>
      <w:r w:rsidR="004A39C4">
        <w:rPr>
          <w:rFonts w:ascii="Arial" w:hAnsi="Arial" w:cs="Arial"/>
          <w:sz w:val="18"/>
          <w:szCs w:val="20"/>
          <w:lang w:val="fr-FR"/>
        </w:rPr>
        <w:t>).</w:t>
      </w:r>
      <w:r w:rsidR="006661A8">
        <w:rPr>
          <w:rFonts w:ascii="Arial" w:hAnsi="Arial" w:cs="Arial"/>
          <w:sz w:val="18"/>
          <w:szCs w:val="20"/>
          <w:lang w:val="fr-FR"/>
        </w:rPr>
        <w:t xml:space="preserve"> </w:t>
      </w:r>
    </w:p>
    <w:p w14:paraId="44863170" w14:textId="0AD969C8" w:rsidR="004A39C4" w:rsidRDefault="004A39C4" w:rsidP="004A39C4">
      <w:pPr>
        <w:spacing w:after="0" w:line="276" w:lineRule="auto"/>
        <w:jc w:val="both"/>
        <w:rPr>
          <w:rFonts w:ascii="Arial" w:hAnsi="Arial" w:cs="Arial"/>
          <w:sz w:val="18"/>
          <w:szCs w:val="20"/>
          <w:lang w:val="fr-FR"/>
        </w:rPr>
      </w:pPr>
      <w:r w:rsidRPr="004A39C4">
        <w:rPr>
          <w:rFonts w:ascii="Arial" w:hAnsi="Arial" w:cs="Arial"/>
          <w:sz w:val="18"/>
          <w:szCs w:val="20"/>
          <w:lang w:val="fr-FR"/>
        </w:rPr>
        <w:t xml:space="preserve"> </w:t>
      </w:r>
    </w:p>
    <w:p w14:paraId="04CB1A88" w14:textId="137EB231" w:rsidR="0027020A" w:rsidRDefault="0027020A" w:rsidP="004247CB">
      <w:pPr>
        <w:spacing w:after="0" w:line="276" w:lineRule="auto"/>
        <w:jc w:val="both"/>
        <w:rPr>
          <w:rFonts w:ascii="Arial" w:hAnsi="Arial" w:cs="Arial"/>
          <w:bCs/>
          <w:sz w:val="18"/>
          <w:szCs w:val="20"/>
          <w:lang w:val="fr-FR"/>
        </w:rPr>
      </w:pPr>
      <w:r>
        <w:rPr>
          <w:rFonts w:ascii="Arial" w:hAnsi="Arial" w:cs="Arial"/>
          <w:bCs/>
          <w:sz w:val="18"/>
          <w:szCs w:val="20"/>
          <w:lang w:val="fr-FR"/>
        </w:rPr>
        <w:t>En 2020</w:t>
      </w:r>
      <w:r w:rsidRPr="0027020A">
        <w:rPr>
          <w:rFonts w:ascii="Arial" w:hAnsi="Arial" w:cs="Arial"/>
          <w:bCs/>
          <w:sz w:val="18"/>
          <w:szCs w:val="20"/>
          <w:lang w:val="fr-FR"/>
        </w:rPr>
        <w:t xml:space="preserve">, le Mali avait un taux d'électrification de </w:t>
      </w:r>
      <w:r w:rsidR="003245A8">
        <w:rPr>
          <w:rFonts w:ascii="Arial" w:hAnsi="Arial" w:cs="Arial"/>
          <w:bCs/>
          <w:sz w:val="18"/>
          <w:szCs w:val="20"/>
          <w:lang w:val="fr-FR"/>
        </w:rPr>
        <w:t>50,56</w:t>
      </w:r>
      <w:r w:rsidRPr="0027020A">
        <w:rPr>
          <w:rFonts w:ascii="Arial" w:hAnsi="Arial" w:cs="Arial"/>
          <w:bCs/>
          <w:sz w:val="18"/>
          <w:szCs w:val="20"/>
          <w:lang w:val="fr-FR"/>
        </w:rPr>
        <w:t>% à l’échelle nationale – 9</w:t>
      </w:r>
      <w:r>
        <w:rPr>
          <w:rFonts w:ascii="Arial" w:hAnsi="Arial" w:cs="Arial"/>
          <w:bCs/>
          <w:sz w:val="18"/>
          <w:szCs w:val="20"/>
          <w:lang w:val="fr-FR"/>
        </w:rPr>
        <w:t>6</w:t>
      </w:r>
      <w:r w:rsidRPr="0027020A">
        <w:rPr>
          <w:rFonts w:ascii="Arial" w:hAnsi="Arial" w:cs="Arial"/>
          <w:bCs/>
          <w:sz w:val="18"/>
          <w:szCs w:val="20"/>
          <w:lang w:val="fr-FR"/>
        </w:rPr>
        <w:t xml:space="preserve">% dans le milieu urbain et </w:t>
      </w:r>
      <w:r>
        <w:rPr>
          <w:rFonts w:ascii="Arial" w:hAnsi="Arial" w:cs="Arial"/>
          <w:bCs/>
          <w:sz w:val="18"/>
          <w:szCs w:val="20"/>
          <w:lang w:val="fr-FR"/>
        </w:rPr>
        <w:t>21,12</w:t>
      </w:r>
      <w:r w:rsidRPr="0027020A">
        <w:rPr>
          <w:rFonts w:ascii="Arial" w:hAnsi="Arial" w:cs="Arial"/>
          <w:bCs/>
          <w:sz w:val="18"/>
          <w:szCs w:val="20"/>
          <w:lang w:val="fr-FR"/>
        </w:rPr>
        <w:t xml:space="preserve">% dans le milieu rural. Cela se traduit en </w:t>
      </w:r>
      <w:r w:rsidR="003245A8">
        <w:rPr>
          <w:rFonts w:ascii="Arial" w:hAnsi="Arial" w:cs="Arial"/>
          <w:bCs/>
          <w:sz w:val="18"/>
          <w:szCs w:val="20"/>
          <w:lang w:val="fr-FR"/>
        </w:rPr>
        <w:t>10.24</w:t>
      </w:r>
      <w:r w:rsidRPr="0027020A">
        <w:rPr>
          <w:rFonts w:ascii="Arial" w:hAnsi="Arial" w:cs="Arial"/>
          <w:bCs/>
          <w:sz w:val="18"/>
          <w:szCs w:val="20"/>
          <w:lang w:val="fr-FR"/>
        </w:rPr>
        <w:t xml:space="preserve"> millions de personnes ayant accès à l’électricité contre 1</w:t>
      </w:r>
      <w:r w:rsidR="003245A8">
        <w:rPr>
          <w:rFonts w:ascii="Arial" w:hAnsi="Arial" w:cs="Arial"/>
          <w:bCs/>
          <w:sz w:val="18"/>
          <w:szCs w:val="20"/>
          <w:lang w:val="fr-FR"/>
        </w:rPr>
        <w:t>0,01</w:t>
      </w:r>
      <w:r w:rsidRPr="0027020A">
        <w:rPr>
          <w:rFonts w:ascii="Arial" w:hAnsi="Arial" w:cs="Arial"/>
          <w:bCs/>
          <w:sz w:val="18"/>
          <w:szCs w:val="20"/>
          <w:lang w:val="fr-FR"/>
        </w:rPr>
        <w:t xml:space="preserve"> millions de personnes n’ayant pas d’accès à l’électricité.</w:t>
      </w:r>
      <w:r w:rsidR="003245A8">
        <w:rPr>
          <w:rFonts w:ascii="Arial" w:hAnsi="Arial" w:cs="Arial"/>
          <w:bCs/>
          <w:sz w:val="18"/>
          <w:szCs w:val="20"/>
          <w:lang w:val="fr-FR"/>
        </w:rPr>
        <w:t xml:space="preserve"> Dans les milieux ruraux, 8,</w:t>
      </w:r>
      <w:r w:rsidRPr="0027020A">
        <w:rPr>
          <w:rFonts w:ascii="Arial" w:hAnsi="Arial" w:cs="Arial"/>
          <w:bCs/>
          <w:sz w:val="18"/>
          <w:szCs w:val="20"/>
          <w:lang w:val="fr-FR"/>
        </w:rPr>
        <w:t>7</w:t>
      </w:r>
      <w:r w:rsidR="003245A8">
        <w:rPr>
          <w:rFonts w:ascii="Arial" w:hAnsi="Arial" w:cs="Arial"/>
          <w:bCs/>
          <w:sz w:val="18"/>
          <w:szCs w:val="20"/>
          <w:lang w:val="fr-FR"/>
        </w:rPr>
        <w:t>9</w:t>
      </w:r>
      <w:r w:rsidRPr="0027020A">
        <w:rPr>
          <w:rFonts w:ascii="Arial" w:hAnsi="Arial" w:cs="Arial"/>
          <w:bCs/>
          <w:sz w:val="18"/>
          <w:szCs w:val="20"/>
          <w:lang w:val="fr-FR"/>
        </w:rPr>
        <w:t xml:space="preserve"> millions de personnes n’avaient p</w:t>
      </w:r>
      <w:r w:rsidR="003245A8">
        <w:rPr>
          <w:rFonts w:ascii="Arial" w:hAnsi="Arial" w:cs="Arial"/>
          <w:bCs/>
          <w:sz w:val="18"/>
          <w:szCs w:val="20"/>
          <w:lang w:val="fr-FR"/>
        </w:rPr>
        <w:t>as accès à l’électricité</w:t>
      </w:r>
      <w:r w:rsidRPr="0027020A">
        <w:rPr>
          <w:rFonts w:ascii="Arial" w:hAnsi="Arial" w:cs="Arial"/>
          <w:bCs/>
          <w:sz w:val="18"/>
          <w:szCs w:val="20"/>
          <w:lang w:val="fr-FR"/>
        </w:rPr>
        <w:t>.</w:t>
      </w:r>
      <w:r w:rsidR="00DB1EC6">
        <w:rPr>
          <w:rFonts w:ascii="Arial" w:hAnsi="Arial" w:cs="Arial"/>
          <w:bCs/>
          <w:sz w:val="18"/>
          <w:szCs w:val="20"/>
          <w:lang w:val="fr-FR"/>
        </w:rPr>
        <w:t xml:space="preserve"> </w:t>
      </w:r>
      <w:r w:rsidR="00DB1EC6" w:rsidRPr="00DB1EC6">
        <w:rPr>
          <w:rFonts w:ascii="Arial" w:hAnsi="Arial" w:cs="Arial"/>
          <w:bCs/>
          <w:sz w:val="18"/>
          <w:szCs w:val="20"/>
          <w:lang w:val="fr-FR"/>
        </w:rPr>
        <w:t>A travers le Projet d’appui à la promotion des énergies renouvelables au Mali (PAPERM), la Banque africaine de développement a appuyé le gouvernement malien à revoir sa politique énergétique. Plusieurs recommandations ont été faites incluant un nouvel objectif d’électrification rurale de 61 % d’ici 2033.</w:t>
      </w:r>
    </w:p>
    <w:p w14:paraId="62ACE0FC" w14:textId="77777777" w:rsidR="00DB1EC6" w:rsidRDefault="00DB1EC6" w:rsidP="004247CB">
      <w:pPr>
        <w:spacing w:after="0" w:line="276" w:lineRule="auto"/>
        <w:jc w:val="both"/>
        <w:rPr>
          <w:rFonts w:ascii="Arial" w:hAnsi="Arial" w:cs="Arial"/>
          <w:bCs/>
          <w:sz w:val="18"/>
          <w:szCs w:val="20"/>
          <w:lang w:val="fr-FR"/>
        </w:rPr>
      </w:pPr>
    </w:p>
    <w:p w14:paraId="3D4B2AAD" w14:textId="3BD3ECF3" w:rsidR="00DB1EC6" w:rsidRDefault="00DB1EC6" w:rsidP="00DB1EC6">
      <w:pPr>
        <w:spacing w:after="0" w:line="276" w:lineRule="auto"/>
        <w:jc w:val="both"/>
        <w:rPr>
          <w:rFonts w:ascii="Arial" w:hAnsi="Arial" w:cs="Arial"/>
          <w:bCs/>
          <w:sz w:val="18"/>
          <w:szCs w:val="20"/>
          <w:lang w:val="fr-FR"/>
        </w:rPr>
      </w:pPr>
      <w:r w:rsidRPr="00DB1EC6">
        <w:rPr>
          <w:rFonts w:ascii="Arial" w:hAnsi="Arial" w:cs="Arial"/>
          <w:bCs/>
          <w:sz w:val="18"/>
          <w:szCs w:val="20"/>
          <w:lang w:val="fr-FR"/>
        </w:rPr>
        <w:t xml:space="preserve">Le </w:t>
      </w:r>
      <w:bookmarkStart w:id="0" w:name="_GoBack"/>
      <w:r w:rsidRPr="00DB1EC6">
        <w:rPr>
          <w:rFonts w:ascii="Arial" w:hAnsi="Arial" w:cs="Arial"/>
          <w:bCs/>
          <w:sz w:val="18"/>
          <w:szCs w:val="20"/>
          <w:lang w:val="fr-FR"/>
        </w:rPr>
        <w:t>Plan Directeur d’Electrification Rurale</w:t>
      </w:r>
      <w:bookmarkEnd w:id="0"/>
      <w:r w:rsidR="00140C6A">
        <w:rPr>
          <w:rFonts w:ascii="Arial" w:hAnsi="Arial" w:cs="Arial"/>
          <w:bCs/>
          <w:sz w:val="18"/>
          <w:szCs w:val="20"/>
          <w:lang w:val="fr-FR"/>
        </w:rPr>
        <w:t xml:space="preserve"> (PDE</w:t>
      </w:r>
      <w:r>
        <w:rPr>
          <w:rFonts w:ascii="Arial" w:hAnsi="Arial" w:cs="Arial"/>
          <w:bCs/>
          <w:sz w:val="18"/>
          <w:szCs w:val="20"/>
          <w:lang w:val="fr-FR"/>
        </w:rPr>
        <w:t xml:space="preserve">R) 2007-2020 </w:t>
      </w:r>
      <w:r w:rsidRPr="00DB1EC6">
        <w:rPr>
          <w:rFonts w:ascii="Arial" w:hAnsi="Arial" w:cs="Arial"/>
          <w:bCs/>
          <w:sz w:val="18"/>
          <w:szCs w:val="20"/>
          <w:lang w:val="fr-FR"/>
        </w:rPr>
        <w:t xml:space="preserve">est en place depuis 2007, mais </w:t>
      </w:r>
      <w:r w:rsidR="00383C80">
        <w:rPr>
          <w:rFonts w:ascii="Arial" w:hAnsi="Arial" w:cs="Arial"/>
          <w:bCs/>
          <w:sz w:val="18"/>
          <w:szCs w:val="20"/>
          <w:lang w:val="fr-FR"/>
        </w:rPr>
        <w:t xml:space="preserve">ce document </w:t>
      </w:r>
      <w:r w:rsidRPr="00DB1EC6">
        <w:rPr>
          <w:rFonts w:ascii="Arial" w:hAnsi="Arial" w:cs="Arial"/>
          <w:bCs/>
          <w:sz w:val="18"/>
          <w:szCs w:val="20"/>
          <w:lang w:val="fr-FR"/>
        </w:rPr>
        <w:t>est largement considéré comme obsolète. Le PDER avait identifié des sites potentiels de développement et avait divisé le Mali en 10 zones d’électr</w:t>
      </w:r>
      <w:r>
        <w:rPr>
          <w:rFonts w:ascii="Arial" w:hAnsi="Arial" w:cs="Arial"/>
          <w:bCs/>
          <w:sz w:val="18"/>
          <w:szCs w:val="20"/>
          <w:lang w:val="fr-FR"/>
        </w:rPr>
        <w:t>ification multisectorielle</w:t>
      </w:r>
      <w:r w:rsidRPr="00DB1EC6">
        <w:rPr>
          <w:rFonts w:ascii="Arial" w:hAnsi="Arial" w:cs="Arial"/>
          <w:bCs/>
          <w:sz w:val="18"/>
          <w:szCs w:val="20"/>
          <w:lang w:val="fr-FR"/>
        </w:rPr>
        <w:t xml:space="preserve">. Cependant, bien que le financement des bailleurs de fonds soit disponible, l’intérêt du secteur privé a été limité, comme en témoignent les appels d’offres pilotes, principalement en raison de la répartition très éparse des </w:t>
      </w:r>
      <w:r w:rsidRPr="00DB1EC6">
        <w:rPr>
          <w:rFonts w:ascii="Arial" w:hAnsi="Arial" w:cs="Arial"/>
          <w:bCs/>
          <w:sz w:val="18"/>
          <w:szCs w:val="20"/>
          <w:lang w:val="fr-FR"/>
        </w:rPr>
        <w:lastRenderedPageBreak/>
        <w:t xml:space="preserve">communautés dans les zones identifiées et l’inadéquation des options d’électrification conventionnelles qui étaient promues par les Opérateurs. Une approche récente, grâce au programme pour la valorisation à grande échelle des énergies renouvelables dans les pays à faible revenu (SREP), pour pallier cette lacune est l’hybridation (avec les sources d’énergies renouvelables, y compris le solaire) de ces mini-réseaux d’origines thermiques, qui justifie le choix du solaire photovoltaïque comme une technologie viable au Mali. </w:t>
      </w:r>
      <w:r w:rsidR="00383C80">
        <w:rPr>
          <w:rFonts w:ascii="Arial" w:hAnsi="Arial" w:cs="Arial"/>
          <w:bCs/>
          <w:sz w:val="18"/>
          <w:szCs w:val="20"/>
          <w:lang w:val="fr-FR"/>
        </w:rPr>
        <w:t>Cela reflète le</w:t>
      </w:r>
      <w:r w:rsidR="00383C80" w:rsidRPr="00383C80">
        <w:rPr>
          <w:rFonts w:ascii="Arial" w:hAnsi="Arial" w:cs="Arial"/>
          <w:bCs/>
          <w:sz w:val="18"/>
          <w:szCs w:val="20"/>
          <w:lang w:val="fr-FR"/>
        </w:rPr>
        <w:t xml:space="preserve"> fort potentiel de développement de l’énergie solaire photovoltaïque au Mali, y compris pour l’électrification rurale hors-réseau.</w:t>
      </w:r>
      <w:r w:rsidR="00383C80">
        <w:rPr>
          <w:rFonts w:ascii="Arial" w:hAnsi="Arial" w:cs="Arial"/>
          <w:bCs/>
          <w:sz w:val="18"/>
          <w:szCs w:val="20"/>
          <w:lang w:val="fr-FR"/>
        </w:rPr>
        <w:t xml:space="preserve"> </w:t>
      </w:r>
      <w:r w:rsidRPr="00DB1EC6">
        <w:rPr>
          <w:rFonts w:ascii="Arial" w:hAnsi="Arial" w:cs="Arial"/>
          <w:bCs/>
          <w:sz w:val="18"/>
          <w:szCs w:val="20"/>
          <w:lang w:val="fr-FR"/>
        </w:rPr>
        <w:t xml:space="preserve">Cette nouvelle orientation ouvre donc une nouvelle voie pour évaluer la viabilité financière de mini-réseaux solaires avec stockage, ou des systèmes photovoltaïques autonomes comme proposé </w:t>
      </w:r>
      <w:r>
        <w:rPr>
          <w:rFonts w:ascii="Arial" w:hAnsi="Arial" w:cs="Arial"/>
          <w:bCs/>
          <w:sz w:val="18"/>
          <w:szCs w:val="20"/>
          <w:lang w:val="fr-FR"/>
        </w:rPr>
        <w:t>dans la présente étude du PNUD.</w:t>
      </w:r>
    </w:p>
    <w:p w14:paraId="601B0058" w14:textId="77777777" w:rsidR="006661A8" w:rsidRDefault="006661A8" w:rsidP="00EB14F8">
      <w:pPr>
        <w:spacing w:after="0" w:line="276" w:lineRule="auto"/>
        <w:jc w:val="both"/>
        <w:rPr>
          <w:rFonts w:ascii="Arial" w:hAnsi="Arial" w:cs="Arial"/>
          <w:sz w:val="18"/>
          <w:szCs w:val="20"/>
          <w:lang w:val="fr-FR"/>
        </w:rPr>
      </w:pPr>
    </w:p>
    <w:p w14:paraId="1ED8DAB4" w14:textId="08602BB5" w:rsidR="00D26574" w:rsidRPr="00CA4F38" w:rsidRDefault="00621C41" w:rsidP="00EB14F8">
      <w:pPr>
        <w:spacing w:after="0" w:line="276" w:lineRule="auto"/>
        <w:jc w:val="both"/>
        <w:rPr>
          <w:rFonts w:ascii="Arial" w:hAnsi="Arial" w:cs="Arial"/>
          <w:sz w:val="18"/>
          <w:szCs w:val="20"/>
          <w:lang w:val="fr-FR"/>
        </w:rPr>
      </w:pPr>
      <w:r>
        <w:rPr>
          <w:rFonts w:ascii="Arial" w:hAnsi="Arial" w:cs="Arial"/>
          <w:sz w:val="18"/>
          <w:szCs w:val="20"/>
          <w:lang w:val="fr-FR"/>
        </w:rPr>
        <w:t>L</w:t>
      </w:r>
      <w:r w:rsidR="006661A8" w:rsidRPr="0005674E">
        <w:rPr>
          <w:rFonts w:ascii="Arial" w:hAnsi="Arial" w:cs="Arial"/>
          <w:sz w:val="18"/>
          <w:szCs w:val="20"/>
          <w:lang w:val="fr-FR"/>
        </w:rPr>
        <w:t>e Mali a haussé le niveau de son ambition à contribuer à l’agenda collectif de l’accord de Paris dans sa contribution déterminée au niveau national révisée (CDN). La part de la réduction des gaz à effet de serres (GES) du scenario d’atténuation pour le secteur énergie par rapport au scenario de base en 2030 s’élève à 31%. Cette contribution passera principalement par une accélération de la prise en compte des énergies renouvelables dans le mix énergétique, y compris à travers des projets de l’électrification rurale.</w:t>
      </w:r>
      <w:r w:rsidR="0005674E" w:rsidRPr="0005674E">
        <w:rPr>
          <w:rFonts w:ascii="Arial" w:hAnsi="Arial" w:cs="Arial"/>
          <w:sz w:val="18"/>
          <w:szCs w:val="20"/>
          <w:lang w:val="fr-FR"/>
        </w:rPr>
        <w:t xml:space="preserve"> Le coû</w:t>
      </w:r>
      <w:r w:rsidR="006661A8" w:rsidRPr="0005674E">
        <w:rPr>
          <w:rFonts w:ascii="Arial" w:hAnsi="Arial" w:cs="Arial"/>
          <w:sz w:val="18"/>
          <w:szCs w:val="20"/>
          <w:lang w:val="fr-FR"/>
        </w:rPr>
        <w:t>t total des projets de l’AER et d’AMADER s’élève respectivement à 403 milliards et à 75 milliards FCFA.</w:t>
      </w:r>
    </w:p>
    <w:p w14:paraId="148B66D5" w14:textId="77777777" w:rsidR="000B5FA0" w:rsidRPr="00CA4F38" w:rsidRDefault="000B5FA0" w:rsidP="000B5FA0">
      <w:pPr>
        <w:spacing w:after="0"/>
        <w:jc w:val="both"/>
        <w:rPr>
          <w:rFonts w:ascii="Arial" w:hAnsi="Arial" w:cs="Arial"/>
          <w:sz w:val="18"/>
          <w:szCs w:val="20"/>
          <w:lang w:val="fr-FR"/>
        </w:rPr>
      </w:pPr>
    </w:p>
    <w:p w14:paraId="42F4B6E5" w14:textId="77777777" w:rsidR="000B5FA0" w:rsidRPr="00CA4F38" w:rsidRDefault="000B5FA0" w:rsidP="000B5FA0">
      <w:pPr>
        <w:pStyle w:val="ListParagraph"/>
        <w:spacing w:after="0"/>
        <w:rPr>
          <w:rFonts w:ascii="Arial" w:hAnsi="Arial" w:cs="Arial"/>
          <w:sz w:val="18"/>
          <w:szCs w:val="20"/>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5187"/>
      </w:tblGrid>
      <w:tr w:rsidR="000B5FA0" w:rsidRPr="00140C6A" w14:paraId="02CE612D" w14:textId="77777777" w:rsidTr="00137260">
        <w:trPr>
          <w:trHeight w:val="575"/>
        </w:trPr>
        <w:tc>
          <w:tcPr>
            <w:tcW w:w="8208" w:type="dxa"/>
            <w:gridSpan w:val="2"/>
            <w:shd w:val="clear" w:color="auto" w:fill="F2F2F2" w:themeFill="background1" w:themeFillShade="F2"/>
          </w:tcPr>
          <w:p w14:paraId="41194DE7" w14:textId="268AC535" w:rsidR="000B5FA0" w:rsidRPr="00A45424" w:rsidRDefault="001A0228" w:rsidP="00137260">
            <w:pPr>
              <w:spacing w:before="120"/>
              <w:rPr>
                <w:color w:val="0070C0"/>
                <w:sz w:val="28"/>
                <w:lang w:val="fr-FR"/>
              </w:rPr>
            </w:pPr>
            <w:r w:rsidRPr="00A45424">
              <w:rPr>
                <w:color w:val="0070C0"/>
                <w:sz w:val="28"/>
                <w:lang w:val="fr-FR"/>
              </w:rPr>
              <w:t xml:space="preserve">Plus sur </w:t>
            </w:r>
            <w:r w:rsidR="00A45424" w:rsidRPr="00A45424">
              <w:rPr>
                <w:color w:val="0070C0"/>
                <w:sz w:val="28"/>
                <w:lang w:val="fr-FR"/>
              </w:rPr>
              <w:t>l’atténuation des risques aux investis</w:t>
            </w:r>
            <w:r w:rsidR="00A45424">
              <w:rPr>
                <w:color w:val="0070C0"/>
                <w:sz w:val="28"/>
                <w:lang w:val="fr-FR"/>
              </w:rPr>
              <w:t>sements dans les énergies renouvelables au</w:t>
            </w:r>
            <w:r w:rsidR="000B5FA0" w:rsidRPr="00A45424">
              <w:rPr>
                <w:color w:val="0070C0"/>
                <w:sz w:val="28"/>
                <w:lang w:val="fr-FR"/>
              </w:rPr>
              <w:t xml:space="preserve"> </w:t>
            </w:r>
            <w:r w:rsidR="00AF117C">
              <w:rPr>
                <w:color w:val="0070C0"/>
                <w:sz w:val="28"/>
                <w:lang w:val="fr-FR"/>
              </w:rPr>
              <w:t>Mali</w:t>
            </w:r>
          </w:p>
        </w:tc>
      </w:tr>
      <w:tr w:rsidR="000B5FA0" w:rsidRPr="00140C6A" w14:paraId="4E0BB950" w14:textId="77777777" w:rsidTr="00137260">
        <w:trPr>
          <w:trHeight w:val="784"/>
        </w:trPr>
        <w:tc>
          <w:tcPr>
            <w:tcW w:w="3021" w:type="dxa"/>
            <w:shd w:val="clear" w:color="auto" w:fill="F2F2F2" w:themeFill="background1" w:themeFillShade="F2"/>
          </w:tcPr>
          <w:p w14:paraId="4272AF0C" w14:textId="56ABED10" w:rsidR="000B5FA0" w:rsidRPr="00A45424" w:rsidRDefault="000B5FA0" w:rsidP="00137260">
            <w:pPr>
              <w:spacing w:before="120"/>
              <w:jc w:val="center"/>
              <w:rPr>
                <w:noProof/>
                <w:lang w:val="fr-FR"/>
              </w:rPr>
            </w:pPr>
          </w:p>
          <w:p w14:paraId="1CB255BB" w14:textId="7D8D6DB2" w:rsidR="007C0758" w:rsidRDefault="007C0758" w:rsidP="00137260">
            <w:pPr>
              <w:spacing w:before="120"/>
              <w:jc w:val="center"/>
              <w:rPr>
                <w:rFonts w:ascii="Arial" w:hAnsi="Arial" w:cs="Arial"/>
                <w:sz w:val="20"/>
                <w:szCs w:val="20"/>
              </w:rPr>
            </w:pPr>
            <w:r>
              <w:rPr>
                <w:noProof/>
              </w:rPr>
              <w:t>[Insert image of report]</w:t>
            </w:r>
          </w:p>
          <w:p w14:paraId="44B245F0" w14:textId="77777777" w:rsidR="000B5FA0" w:rsidRPr="00583BB7" w:rsidRDefault="000B5FA0" w:rsidP="00137260">
            <w:pPr>
              <w:spacing w:before="120"/>
              <w:jc w:val="center"/>
              <w:rPr>
                <w:rFonts w:ascii="Arial" w:hAnsi="Arial" w:cs="Arial"/>
                <w:sz w:val="20"/>
                <w:szCs w:val="20"/>
              </w:rPr>
            </w:pPr>
          </w:p>
        </w:tc>
        <w:tc>
          <w:tcPr>
            <w:tcW w:w="5187" w:type="dxa"/>
            <w:shd w:val="clear" w:color="auto" w:fill="F2F2F2" w:themeFill="background1" w:themeFillShade="F2"/>
          </w:tcPr>
          <w:p w14:paraId="0631EC38" w14:textId="4D19EDAC" w:rsidR="000B5FA0" w:rsidRPr="001A0228" w:rsidRDefault="005172AC" w:rsidP="00137260">
            <w:pPr>
              <w:spacing w:before="120"/>
              <w:rPr>
                <w:rFonts w:ascii="Arial" w:hAnsi="Arial" w:cs="Arial"/>
                <w:sz w:val="18"/>
                <w:szCs w:val="20"/>
                <w:lang w:val="fr-FR"/>
              </w:rPr>
            </w:pPr>
            <w:r w:rsidRPr="001A0228">
              <w:rPr>
                <w:rFonts w:ascii="Arial" w:hAnsi="Arial" w:cs="Arial"/>
                <w:sz w:val="18"/>
                <w:szCs w:val="20"/>
                <w:lang w:val="fr-FR"/>
              </w:rPr>
              <w:t xml:space="preserve">Les résultats complets de cette études, ses modèles financiers, </w:t>
            </w:r>
            <w:r w:rsidR="001A0228" w:rsidRPr="001A0228">
              <w:rPr>
                <w:rFonts w:ascii="Arial" w:hAnsi="Arial" w:cs="Arial"/>
                <w:sz w:val="18"/>
                <w:szCs w:val="20"/>
                <w:lang w:val="fr-FR"/>
              </w:rPr>
              <w:t xml:space="preserve">ainsi </w:t>
            </w:r>
            <w:r w:rsidR="001A0228">
              <w:rPr>
                <w:rFonts w:ascii="Arial" w:hAnsi="Arial" w:cs="Arial"/>
                <w:sz w:val="18"/>
                <w:szCs w:val="20"/>
                <w:lang w:val="fr-FR"/>
              </w:rPr>
              <w:t>qu’un document de méthodologie et hypothèses sont disponibles sur</w:t>
            </w:r>
            <w:r w:rsidR="000B5FA0" w:rsidRPr="001A0228">
              <w:rPr>
                <w:rFonts w:ascii="Arial" w:hAnsi="Arial" w:cs="Arial"/>
                <w:sz w:val="18"/>
                <w:szCs w:val="20"/>
                <w:lang w:val="fr-FR"/>
              </w:rPr>
              <w:t xml:space="preserve">: </w:t>
            </w:r>
            <w:hyperlink r:id="rId13" w:history="1">
              <w:r w:rsidR="000B5FA0" w:rsidRPr="001A0228">
                <w:rPr>
                  <w:rStyle w:val="Hyperlink"/>
                  <w:rFonts w:ascii="Arial" w:hAnsi="Arial" w:cs="Arial"/>
                  <w:sz w:val="18"/>
                  <w:szCs w:val="20"/>
                  <w:lang w:val="fr-FR"/>
                </w:rPr>
                <w:t>www.undp.org/DREI</w:t>
              </w:r>
            </w:hyperlink>
            <w:r w:rsidR="000B5FA0" w:rsidRPr="001A0228">
              <w:rPr>
                <w:rFonts w:ascii="Arial" w:hAnsi="Arial" w:cs="Arial"/>
                <w:sz w:val="18"/>
                <w:szCs w:val="20"/>
                <w:lang w:val="fr-FR"/>
              </w:rPr>
              <w:t xml:space="preserve"> </w:t>
            </w:r>
          </w:p>
          <w:p w14:paraId="443FE6A0" w14:textId="19495E7A" w:rsidR="000B5FA0" w:rsidRPr="001A0228" w:rsidRDefault="001A0228" w:rsidP="00137260">
            <w:pPr>
              <w:spacing w:before="120"/>
              <w:rPr>
                <w:rFonts w:ascii="Arial" w:hAnsi="Arial" w:cs="Arial"/>
                <w:sz w:val="18"/>
                <w:szCs w:val="20"/>
                <w:lang w:val="fr-FR"/>
              </w:rPr>
            </w:pPr>
            <w:r w:rsidRPr="001A0228">
              <w:rPr>
                <w:rFonts w:ascii="Arial" w:hAnsi="Arial" w:cs="Arial"/>
                <w:sz w:val="18"/>
                <w:szCs w:val="20"/>
                <w:lang w:val="fr-FR"/>
              </w:rPr>
              <w:t xml:space="preserve">Ce document “Résumé exécutif” a été publié en </w:t>
            </w:r>
            <w:r w:rsidR="00B50E37" w:rsidRPr="001A0228">
              <w:rPr>
                <w:rFonts w:ascii="Arial" w:hAnsi="Arial" w:cs="Arial"/>
                <w:sz w:val="18"/>
                <w:szCs w:val="20"/>
                <w:lang w:val="fr-FR"/>
              </w:rPr>
              <w:t>[</w:t>
            </w:r>
            <w:proofErr w:type="spellStart"/>
            <w:r w:rsidR="00B50E37" w:rsidRPr="001A0228">
              <w:rPr>
                <w:rFonts w:ascii="Arial" w:hAnsi="Arial" w:cs="Arial"/>
                <w:sz w:val="18"/>
                <w:szCs w:val="20"/>
                <w:lang w:val="fr-FR"/>
              </w:rPr>
              <w:t>month</w:t>
            </w:r>
            <w:proofErr w:type="spellEnd"/>
            <w:r w:rsidR="00B50E37" w:rsidRPr="001A0228">
              <w:rPr>
                <w:rFonts w:ascii="Arial" w:hAnsi="Arial" w:cs="Arial"/>
                <w:sz w:val="18"/>
                <w:szCs w:val="20"/>
                <w:lang w:val="fr-FR"/>
              </w:rPr>
              <w:t xml:space="preserve">, </w:t>
            </w:r>
            <w:proofErr w:type="spellStart"/>
            <w:r w:rsidR="00B50E37" w:rsidRPr="001A0228">
              <w:rPr>
                <w:rFonts w:ascii="Arial" w:hAnsi="Arial" w:cs="Arial"/>
                <w:sz w:val="18"/>
                <w:szCs w:val="20"/>
                <w:lang w:val="fr-FR"/>
              </w:rPr>
              <w:t>year</w:t>
            </w:r>
            <w:proofErr w:type="spellEnd"/>
            <w:r w:rsidR="00B50E37" w:rsidRPr="001A0228">
              <w:rPr>
                <w:rFonts w:ascii="Arial" w:hAnsi="Arial" w:cs="Arial"/>
                <w:sz w:val="18"/>
                <w:szCs w:val="20"/>
                <w:lang w:val="fr-FR"/>
              </w:rPr>
              <w:t>]</w:t>
            </w:r>
            <w:r w:rsidR="000B5FA0" w:rsidRPr="001A0228">
              <w:rPr>
                <w:rFonts w:ascii="Arial" w:hAnsi="Arial" w:cs="Arial"/>
                <w:sz w:val="18"/>
                <w:szCs w:val="20"/>
                <w:lang w:val="fr-FR"/>
              </w:rPr>
              <w:t>.</w:t>
            </w:r>
          </w:p>
          <w:p w14:paraId="627F7080" w14:textId="77777777" w:rsidR="000B5FA0" w:rsidRPr="001A0228" w:rsidRDefault="000B5FA0" w:rsidP="00137260">
            <w:pPr>
              <w:spacing w:before="120"/>
              <w:rPr>
                <w:rFonts w:ascii="Arial" w:hAnsi="Arial" w:cs="Arial"/>
                <w:sz w:val="20"/>
                <w:szCs w:val="20"/>
                <w:lang w:val="fr-FR"/>
              </w:rPr>
            </w:pPr>
          </w:p>
        </w:tc>
      </w:tr>
    </w:tbl>
    <w:p w14:paraId="199CE4C4" w14:textId="430A1822" w:rsidR="000B5FA0" w:rsidRPr="003B73D9" w:rsidRDefault="003B73D9" w:rsidP="000B5FA0">
      <w:pPr>
        <w:spacing w:before="120" w:after="0" w:line="240" w:lineRule="auto"/>
        <w:rPr>
          <w:color w:val="0070C0"/>
          <w:sz w:val="28"/>
          <w:lang w:val="fr-FR"/>
        </w:rPr>
      </w:pPr>
      <w:r w:rsidRPr="003B73D9">
        <w:rPr>
          <w:color w:val="0070C0"/>
          <w:sz w:val="28"/>
          <w:lang w:val="fr-FR"/>
        </w:rPr>
        <w:t>Coûts de financement et e</w:t>
      </w:r>
      <w:r>
        <w:rPr>
          <w:color w:val="0070C0"/>
          <w:sz w:val="28"/>
          <w:lang w:val="fr-FR"/>
        </w:rPr>
        <w:t>nvironnement des risques</w:t>
      </w:r>
    </w:p>
    <w:p w14:paraId="3300DFF0" w14:textId="77777777" w:rsidR="000B5FA0" w:rsidRPr="003B73D9" w:rsidRDefault="000B5FA0" w:rsidP="000B5FA0">
      <w:pPr>
        <w:spacing w:after="0"/>
        <w:rPr>
          <w:rFonts w:ascii="Arial" w:hAnsi="Arial" w:cs="Arial"/>
          <w:sz w:val="20"/>
          <w:szCs w:val="20"/>
          <w:lang w:val="fr-FR"/>
        </w:rPr>
      </w:pPr>
    </w:p>
    <w:p w14:paraId="439BBE86" w14:textId="58A35666" w:rsidR="000B5FA0" w:rsidRPr="00DE74F0" w:rsidRDefault="00DE74F0" w:rsidP="000B5FA0">
      <w:pPr>
        <w:spacing w:after="0"/>
        <w:rPr>
          <w:rFonts w:ascii="Arial" w:hAnsi="Arial" w:cs="Arial"/>
          <w:sz w:val="18"/>
          <w:szCs w:val="20"/>
          <w:lang w:val="fr-FR"/>
        </w:rPr>
      </w:pPr>
      <w:r w:rsidRPr="00DE74F0">
        <w:rPr>
          <w:rFonts w:ascii="Arial" w:hAnsi="Arial" w:cs="Arial"/>
          <w:sz w:val="18"/>
          <w:szCs w:val="20"/>
          <w:lang w:val="fr-FR"/>
        </w:rPr>
        <w:t>La modélisation réalise une analyse détaillée des co</w:t>
      </w:r>
      <w:r>
        <w:rPr>
          <w:rFonts w:ascii="Arial" w:hAnsi="Arial" w:cs="Arial"/>
          <w:sz w:val="18"/>
          <w:szCs w:val="20"/>
          <w:lang w:val="fr-FR"/>
        </w:rPr>
        <w:t xml:space="preserve">ûts de financement et de l’environnement des risques pour les mini-réseaux solaires </w:t>
      </w:r>
      <w:r w:rsidR="00D24F02">
        <w:rPr>
          <w:rFonts w:ascii="Arial" w:hAnsi="Arial" w:cs="Arial"/>
          <w:sz w:val="18"/>
          <w:szCs w:val="20"/>
          <w:lang w:val="fr-FR"/>
        </w:rPr>
        <w:t>PV-</w:t>
      </w:r>
      <w:r>
        <w:rPr>
          <w:rFonts w:ascii="Arial" w:hAnsi="Arial" w:cs="Arial"/>
          <w:sz w:val="18"/>
          <w:szCs w:val="20"/>
          <w:lang w:val="fr-FR"/>
        </w:rPr>
        <w:t>batterie</w:t>
      </w:r>
      <w:r w:rsidR="00D24F02">
        <w:rPr>
          <w:rFonts w:ascii="Arial" w:hAnsi="Arial" w:cs="Arial"/>
          <w:sz w:val="18"/>
          <w:szCs w:val="20"/>
          <w:lang w:val="fr-FR"/>
        </w:rPr>
        <w:t>s</w:t>
      </w:r>
      <w:r w:rsidR="00D751FD">
        <w:rPr>
          <w:rFonts w:ascii="Arial" w:hAnsi="Arial" w:cs="Arial"/>
          <w:sz w:val="18"/>
          <w:szCs w:val="20"/>
          <w:lang w:val="fr-FR"/>
        </w:rPr>
        <w:t xml:space="preserve"> au </w:t>
      </w:r>
      <w:r w:rsidR="00AF117C">
        <w:rPr>
          <w:rFonts w:ascii="Arial" w:hAnsi="Arial" w:cs="Arial"/>
          <w:sz w:val="18"/>
          <w:szCs w:val="20"/>
          <w:lang w:val="fr-FR"/>
        </w:rPr>
        <w:t>Mali</w:t>
      </w:r>
      <w:r w:rsidR="00D751FD">
        <w:rPr>
          <w:rFonts w:ascii="Arial" w:hAnsi="Arial" w:cs="Arial"/>
          <w:sz w:val="18"/>
          <w:szCs w:val="20"/>
          <w:lang w:val="fr-FR"/>
        </w:rPr>
        <w:t xml:space="preserve"> actuellement</w:t>
      </w:r>
      <w:r w:rsidR="000B5FA0" w:rsidRPr="00DE74F0">
        <w:rPr>
          <w:rFonts w:ascii="Arial" w:hAnsi="Arial" w:cs="Arial"/>
          <w:sz w:val="18"/>
          <w:szCs w:val="20"/>
          <w:lang w:val="fr-FR"/>
        </w:rPr>
        <w:t xml:space="preserve">.  </w:t>
      </w:r>
    </w:p>
    <w:p w14:paraId="48E8E755" w14:textId="77777777" w:rsidR="000B5FA0" w:rsidRPr="00DE74F0" w:rsidRDefault="000B5FA0" w:rsidP="000B5FA0">
      <w:pPr>
        <w:pStyle w:val="ListParagraph"/>
        <w:spacing w:after="0"/>
        <w:rPr>
          <w:rFonts w:ascii="Arial" w:hAnsi="Arial" w:cs="Arial"/>
          <w:sz w:val="18"/>
          <w:szCs w:val="20"/>
          <w:lang w:val="fr-FR"/>
        </w:rPr>
      </w:pPr>
    </w:p>
    <w:p w14:paraId="7715D4A4" w14:textId="6D958AD7" w:rsidR="0089785E" w:rsidRPr="00D751FD" w:rsidRDefault="00D751FD" w:rsidP="0089785E">
      <w:pPr>
        <w:pStyle w:val="ListParagraph"/>
        <w:numPr>
          <w:ilvl w:val="0"/>
          <w:numId w:val="2"/>
        </w:numPr>
        <w:spacing w:after="0"/>
        <w:rPr>
          <w:rFonts w:ascii="Arial" w:hAnsi="Arial" w:cs="Arial"/>
          <w:sz w:val="20"/>
          <w:szCs w:val="20"/>
          <w:lang w:val="fr-FR"/>
        </w:rPr>
      </w:pPr>
      <w:r w:rsidRPr="0089785E">
        <w:rPr>
          <w:rFonts w:ascii="Arial" w:hAnsi="Arial" w:cs="Arial"/>
          <w:sz w:val="18"/>
          <w:szCs w:val="20"/>
          <w:lang w:val="fr-FR"/>
        </w:rPr>
        <w:t>Les coûts de financement (coût des fonds propres et coût de la dette</w:t>
      </w:r>
      <w:r w:rsidR="000B5FA0" w:rsidRPr="0089785E">
        <w:rPr>
          <w:rFonts w:ascii="Arial" w:hAnsi="Arial" w:cs="Arial"/>
          <w:sz w:val="18"/>
          <w:szCs w:val="20"/>
          <w:lang w:val="fr-FR"/>
        </w:rPr>
        <w:t xml:space="preserve">) </w:t>
      </w:r>
      <w:r w:rsidRPr="0089785E">
        <w:rPr>
          <w:rFonts w:ascii="Arial" w:hAnsi="Arial" w:cs="Arial"/>
          <w:sz w:val="18"/>
          <w:szCs w:val="20"/>
          <w:lang w:val="fr-FR"/>
        </w:rPr>
        <w:t xml:space="preserve">pour les mini-réseaux solaires PV-batteries sont élevés </w:t>
      </w:r>
      <w:r w:rsidR="00D24F02">
        <w:rPr>
          <w:rFonts w:ascii="Arial" w:hAnsi="Arial" w:cs="Arial"/>
          <w:sz w:val="18"/>
          <w:szCs w:val="20"/>
          <w:lang w:val="fr-FR"/>
        </w:rPr>
        <w:t>dans un contexte comme le</w:t>
      </w:r>
      <w:r w:rsidRPr="0089785E">
        <w:rPr>
          <w:rFonts w:ascii="Arial" w:hAnsi="Arial" w:cs="Arial"/>
          <w:sz w:val="18"/>
          <w:szCs w:val="20"/>
          <w:lang w:val="fr-FR"/>
        </w:rPr>
        <w:t xml:space="preserve"> </w:t>
      </w:r>
      <w:r w:rsidR="00AF117C">
        <w:rPr>
          <w:rFonts w:ascii="Arial" w:hAnsi="Arial" w:cs="Arial"/>
          <w:sz w:val="18"/>
          <w:szCs w:val="20"/>
          <w:lang w:val="fr-FR"/>
        </w:rPr>
        <w:t>Mali</w:t>
      </w:r>
      <w:r w:rsidR="00D24F02">
        <w:rPr>
          <w:rFonts w:ascii="Arial" w:hAnsi="Arial" w:cs="Arial"/>
          <w:sz w:val="18"/>
          <w:szCs w:val="20"/>
          <w:lang w:val="fr-FR"/>
        </w:rPr>
        <w:t xml:space="preserve"> ou les risques à l’investissement sont élevés.</w:t>
      </w:r>
      <w:r w:rsidR="000B5FA0" w:rsidRPr="0089785E">
        <w:rPr>
          <w:rFonts w:ascii="Arial" w:hAnsi="Arial" w:cs="Arial"/>
          <w:sz w:val="18"/>
          <w:szCs w:val="20"/>
          <w:lang w:val="fr-FR"/>
        </w:rPr>
        <w:t xml:space="preserve"> </w:t>
      </w:r>
      <w:r w:rsidRPr="0089785E">
        <w:rPr>
          <w:rFonts w:ascii="Arial" w:hAnsi="Arial" w:cs="Arial"/>
          <w:sz w:val="18"/>
          <w:szCs w:val="20"/>
          <w:lang w:val="fr-FR"/>
        </w:rPr>
        <w:t xml:space="preserve">En effet, cette étude constate que le coût moyen des fonds propres pour les mini-réseaux solaires au </w:t>
      </w:r>
      <w:r w:rsidR="00AF117C">
        <w:rPr>
          <w:rFonts w:ascii="Arial" w:hAnsi="Arial" w:cs="Arial"/>
          <w:sz w:val="18"/>
          <w:szCs w:val="20"/>
          <w:lang w:val="fr-FR"/>
        </w:rPr>
        <w:t>Mali</w:t>
      </w:r>
      <w:r w:rsidRPr="0089785E">
        <w:rPr>
          <w:rFonts w:ascii="Arial" w:hAnsi="Arial" w:cs="Arial"/>
          <w:sz w:val="18"/>
          <w:szCs w:val="20"/>
          <w:lang w:val="fr-FR"/>
        </w:rPr>
        <w:t xml:space="preserve"> est </w:t>
      </w:r>
      <w:r w:rsidR="00A320AF" w:rsidRPr="0089785E">
        <w:rPr>
          <w:rFonts w:ascii="Arial" w:hAnsi="Arial" w:cs="Arial"/>
          <w:sz w:val="18"/>
          <w:szCs w:val="20"/>
          <w:lang w:val="fr-FR"/>
        </w:rPr>
        <w:t xml:space="preserve">estimé à </w:t>
      </w:r>
      <w:r w:rsidR="00285E7A" w:rsidRPr="0089785E">
        <w:rPr>
          <w:rFonts w:ascii="Arial" w:hAnsi="Arial" w:cs="Arial"/>
          <w:sz w:val="18"/>
          <w:szCs w:val="20"/>
          <w:lang w:val="fr-FR"/>
        </w:rPr>
        <w:t>20</w:t>
      </w:r>
      <w:r w:rsidRPr="0089785E">
        <w:rPr>
          <w:rFonts w:ascii="Arial" w:hAnsi="Arial" w:cs="Arial"/>
          <w:sz w:val="18"/>
          <w:szCs w:val="20"/>
          <w:lang w:val="fr-FR"/>
        </w:rPr>
        <w:t xml:space="preserve">%, </w:t>
      </w:r>
      <w:r w:rsidR="0089785E">
        <w:rPr>
          <w:rFonts w:ascii="Arial" w:hAnsi="Arial" w:cs="Arial"/>
          <w:sz w:val="18"/>
          <w:szCs w:val="20"/>
          <w:lang w:val="fr-FR"/>
        </w:rPr>
        <w:t>contre 11%</w:t>
      </w:r>
      <w:r w:rsidR="00D24F02">
        <w:rPr>
          <w:rFonts w:ascii="Arial" w:hAnsi="Arial" w:cs="Arial"/>
          <w:sz w:val="18"/>
          <w:szCs w:val="20"/>
          <w:lang w:val="fr-FR"/>
        </w:rPr>
        <w:t xml:space="preserve"> dans un pays de </w:t>
      </w:r>
      <w:r w:rsidR="0089785E">
        <w:rPr>
          <w:rFonts w:ascii="Arial" w:hAnsi="Arial" w:cs="Arial"/>
          <w:sz w:val="18"/>
          <w:szCs w:val="20"/>
          <w:lang w:val="fr-FR"/>
        </w:rPr>
        <w:t>référence</w:t>
      </w:r>
      <w:r w:rsidR="00D24F02">
        <w:rPr>
          <w:rFonts w:ascii="Arial" w:hAnsi="Arial" w:cs="Arial"/>
          <w:sz w:val="18"/>
          <w:szCs w:val="20"/>
          <w:lang w:val="fr-FR"/>
        </w:rPr>
        <w:t xml:space="preserve"> o</w:t>
      </w:r>
      <w:r w:rsidR="00D24F02" w:rsidRPr="00D24F02">
        <w:rPr>
          <w:rFonts w:ascii="Arial" w:hAnsi="Arial" w:cs="Arial"/>
          <w:sz w:val="18"/>
          <w:szCs w:val="20"/>
          <w:lang w:val="fr-FR"/>
        </w:rPr>
        <w:t>ù</w:t>
      </w:r>
      <w:r w:rsidR="00D24F02">
        <w:rPr>
          <w:rFonts w:ascii="Arial" w:hAnsi="Arial" w:cs="Arial"/>
          <w:sz w:val="18"/>
          <w:szCs w:val="20"/>
          <w:lang w:val="fr-FR"/>
        </w:rPr>
        <w:t xml:space="preserve"> les risques à l’investissement sont m</w:t>
      </w:r>
      <w:r w:rsidR="00D24F02" w:rsidRPr="00D24F02">
        <w:rPr>
          <w:rFonts w:ascii="Arial" w:hAnsi="Arial" w:cs="Arial"/>
          <w:sz w:val="18"/>
          <w:szCs w:val="20"/>
          <w:lang w:val="fr-FR"/>
        </w:rPr>
        <w:t>aîtr</w:t>
      </w:r>
      <w:r w:rsidR="00D24F02">
        <w:rPr>
          <w:rFonts w:ascii="Arial" w:hAnsi="Arial" w:cs="Arial"/>
          <w:sz w:val="18"/>
          <w:szCs w:val="20"/>
          <w:lang w:val="fr-FR"/>
        </w:rPr>
        <w:t>is</w:t>
      </w:r>
      <w:r w:rsidR="00D24F02" w:rsidRPr="00D24F02">
        <w:rPr>
          <w:rFonts w:ascii="Arial" w:hAnsi="Arial" w:cs="Arial"/>
          <w:sz w:val="18"/>
          <w:szCs w:val="20"/>
          <w:lang w:val="fr-FR"/>
        </w:rPr>
        <w:t>é</w:t>
      </w:r>
      <w:r w:rsidR="00D24F02">
        <w:rPr>
          <w:rFonts w:ascii="Arial" w:hAnsi="Arial" w:cs="Arial"/>
          <w:sz w:val="18"/>
          <w:szCs w:val="20"/>
          <w:lang w:val="fr-FR"/>
        </w:rPr>
        <w:t>s.</w:t>
      </w:r>
    </w:p>
    <w:p w14:paraId="4914ED8B" w14:textId="1B8B99BB" w:rsidR="000B5FA0" w:rsidRPr="0089785E" w:rsidRDefault="000B5FA0" w:rsidP="0089785E">
      <w:pPr>
        <w:pStyle w:val="ListParagraph"/>
        <w:spacing w:after="0"/>
        <w:rPr>
          <w:rFonts w:ascii="Arial" w:hAnsi="Arial" w:cs="Arial"/>
          <w:i/>
          <w:sz w:val="18"/>
          <w:szCs w:val="20"/>
          <w:lang w:val="fr-FR"/>
        </w:rPr>
      </w:pPr>
    </w:p>
    <w:p w14:paraId="1D716157" w14:textId="729FBEF8" w:rsidR="000B5FA0" w:rsidRPr="00775BB3" w:rsidRDefault="00D751FD" w:rsidP="00775BB3">
      <w:pPr>
        <w:pStyle w:val="ListParagraph"/>
        <w:numPr>
          <w:ilvl w:val="0"/>
          <w:numId w:val="2"/>
        </w:numPr>
        <w:spacing w:after="0"/>
        <w:rPr>
          <w:rFonts w:ascii="Arial" w:hAnsi="Arial" w:cs="Arial"/>
          <w:i/>
          <w:sz w:val="18"/>
          <w:szCs w:val="20"/>
          <w:lang w:val="fr-FR"/>
        </w:rPr>
      </w:pPr>
      <w:r w:rsidRPr="00775BB3">
        <w:rPr>
          <w:rFonts w:ascii="Arial" w:hAnsi="Arial" w:cs="Arial"/>
          <w:sz w:val="18"/>
          <w:szCs w:val="20"/>
          <w:lang w:val="fr-FR"/>
        </w:rPr>
        <w:t>Ces coûts de financement plus élevés</w:t>
      </w:r>
      <w:r w:rsidR="000B5FA0" w:rsidRPr="00775BB3">
        <w:rPr>
          <w:rFonts w:ascii="Arial" w:hAnsi="Arial" w:cs="Arial"/>
          <w:sz w:val="18"/>
          <w:szCs w:val="20"/>
          <w:lang w:val="fr-FR"/>
        </w:rPr>
        <w:t xml:space="preserve"> (Figure 1</w:t>
      </w:r>
      <w:r w:rsidRPr="00775BB3">
        <w:rPr>
          <w:rFonts w:ascii="Arial" w:hAnsi="Arial" w:cs="Arial"/>
          <w:sz w:val="18"/>
          <w:szCs w:val="20"/>
          <w:lang w:val="fr-FR"/>
        </w:rPr>
        <w:t xml:space="preserve"> ci-dessous</w:t>
      </w:r>
      <w:r w:rsidR="000B5FA0" w:rsidRPr="00775BB3">
        <w:rPr>
          <w:rFonts w:ascii="Arial" w:hAnsi="Arial" w:cs="Arial"/>
          <w:sz w:val="18"/>
          <w:szCs w:val="20"/>
          <w:lang w:val="fr-FR"/>
        </w:rPr>
        <w:t xml:space="preserve">) </w:t>
      </w:r>
      <w:r w:rsidRPr="00775BB3">
        <w:rPr>
          <w:rFonts w:ascii="Arial" w:hAnsi="Arial" w:cs="Arial"/>
          <w:sz w:val="18"/>
          <w:szCs w:val="20"/>
          <w:lang w:val="fr-FR"/>
        </w:rPr>
        <w:t xml:space="preserve">reflètent une série de risques aux investissements dans les mini-réseaux solaires au </w:t>
      </w:r>
      <w:r w:rsidR="00AF117C">
        <w:rPr>
          <w:rFonts w:ascii="Arial" w:hAnsi="Arial" w:cs="Arial"/>
          <w:sz w:val="18"/>
          <w:szCs w:val="20"/>
          <w:lang w:val="fr-FR"/>
        </w:rPr>
        <w:t>Mali</w:t>
      </w:r>
      <w:r w:rsidRPr="00775BB3">
        <w:rPr>
          <w:rFonts w:ascii="Arial" w:hAnsi="Arial" w:cs="Arial"/>
          <w:sz w:val="18"/>
          <w:szCs w:val="20"/>
          <w:lang w:val="fr-FR"/>
        </w:rPr>
        <w:t xml:space="preserve">. </w:t>
      </w:r>
      <w:r w:rsidR="00775BB3" w:rsidRPr="00076356">
        <w:rPr>
          <w:rFonts w:ascii="Arial" w:hAnsi="Arial" w:cs="Arial"/>
          <w:sz w:val="18"/>
          <w:szCs w:val="20"/>
          <w:lang w:val="fr-FR"/>
        </w:rPr>
        <w:t xml:space="preserve">En particulier, </w:t>
      </w:r>
      <w:r w:rsidR="0027123E">
        <w:rPr>
          <w:rFonts w:ascii="Arial" w:hAnsi="Arial" w:cs="Arial"/>
          <w:sz w:val="18"/>
          <w:szCs w:val="20"/>
          <w:lang w:val="fr-FR"/>
        </w:rPr>
        <w:t>le risque de march</w:t>
      </w:r>
      <w:r w:rsidR="0027123E" w:rsidRPr="0027123E">
        <w:rPr>
          <w:rFonts w:ascii="Arial" w:hAnsi="Arial" w:cs="Arial"/>
          <w:sz w:val="18"/>
          <w:szCs w:val="20"/>
          <w:lang w:val="fr-FR"/>
        </w:rPr>
        <w:t>é</w:t>
      </w:r>
      <w:r w:rsidR="0027123E">
        <w:rPr>
          <w:rFonts w:ascii="Arial" w:hAnsi="Arial" w:cs="Arial"/>
          <w:sz w:val="18"/>
          <w:szCs w:val="20"/>
          <w:lang w:val="fr-FR"/>
        </w:rPr>
        <w:t xml:space="preserve"> de l’énergie, </w:t>
      </w:r>
      <w:r w:rsidR="0027123E" w:rsidRPr="00076356">
        <w:rPr>
          <w:rFonts w:ascii="Arial" w:hAnsi="Arial" w:cs="Arial"/>
          <w:sz w:val="18"/>
          <w:szCs w:val="20"/>
          <w:lang w:val="fr-FR"/>
        </w:rPr>
        <w:t>le risque souverain</w:t>
      </w:r>
      <w:r w:rsidR="0027123E">
        <w:rPr>
          <w:rFonts w:ascii="Arial" w:hAnsi="Arial" w:cs="Arial"/>
          <w:sz w:val="18"/>
          <w:szCs w:val="20"/>
          <w:lang w:val="fr-FR"/>
        </w:rPr>
        <w:t>, le risque li</w:t>
      </w:r>
      <w:r w:rsidR="0027123E" w:rsidRPr="0027123E">
        <w:rPr>
          <w:rFonts w:ascii="Arial" w:hAnsi="Arial" w:cs="Arial"/>
          <w:sz w:val="18"/>
          <w:szCs w:val="20"/>
          <w:lang w:val="fr-FR"/>
        </w:rPr>
        <w:t>é</w:t>
      </w:r>
      <w:r w:rsidR="0027123E">
        <w:rPr>
          <w:rFonts w:ascii="Arial" w:hAnsi="Arial" w:cs="Arial"/>
          <w:sz w:val="18"/>
          <w:szCs w:val="20"/>
          <w:lang w:val="fr-FR"/>
        </w:rPr>
        <w:t xml:space="preserve"> à la main d’œuvre, </w:t>
      </w:r>
      <w:r w:rsidR="0027123E" w:rsidRPr="00076356">
        <w:rPr>
          <w:rFonts w:ascii="Arial" w:hAnsi="Arial" w:cs="Arial"/>
          <w:sz w:val="18"/>
          <w:szCs w:val="20"/>
          <w:lang w:val="fr-FR"/>
        </w:rPr>
        <w:t>le risque de financement</w:t>
      </w:r>
      <w:r w:rsidR="0027123E">
        <w:rPr>
          <w:rFonts w:ascii="Arial" w:hAnsi="Arial" w:cs="Arial"/>
          <w:sz w:val="18"/>
          <w:szCs w:val="20"/>
          <w:lang w:val="fr-FR"/>
        </w:rPr>
        <w:t xml:space="preserve">, le risque de crédit de l’utilisateur final </w:t>
      </w:r>
      <w:r w:rsidR="00775BB3" w:rsidRPr="00076356">
        <w:rPr>
          <w:rFonts w:ascii="Arial" w:hAnsi="Arial" w:cs="Arial"/>
          <w:sz w:val="18"/>
          <w:szCs w:val="20"/>
          <w:lang w:val="fr-FR"/>
        </w:rPr>
        <w:t xml:space="preserve">et le risque promoteur </w:t>
      </w:r>
      <w:proofErr w:type="gramStart"/>
      <w:r w:rsidR="00775BB3" w:rsidRPr="00076356">
        <w:rPr>
          <w:rFonts w:ascii="Arial" w:hAnsi="Arial" w:cs="Arial"/>
          <w:sz w:val="18"/>
          <w:szCs w:val="20"/>
          <w:lang w:val="fr-FR"/>
        </w:rPr>
        <w:t>sont</w:t>
      </w:r>
      <w:proofErr w:type="gramEnd"/>
      <w:r w:rsidR="00775BB3" w:rsidRPr="00076356">
        <w:rPr>
          <w:rFonts w:ascii="Arial" w:hAnsi="Arial" w:cs="Arial"/>
          <w:sz w:val="18"/>
          <w:szCs w:val="20"/>
          <w:lang w:val="fr-FR"/>
        </w:rPr>
        <w:t xml:space="preserve"> les catégories qui contribuent le plus au</w:t>
      </w:r>
      <w:r w:rsidR="00775BB3">
        <w:rPr>
          <w:rFonts w:ascii="Arial" w:hAnsi="Arial" w:cs="Arial"/>
          <w:sz w:val="18"/>
          <w:szCs w:val="20"/>
          <w:lang w:val="fr-FR"/>
        </w:rPr>
        <w:t xml:space="preserve">x coûts des fonds propres. </w:t>
      </w:r>
      <w:r w:rsidR="005A5A43">
        <w:rPr>
          <w:rFonts w:ascii="Arial" w:hAnsi="Arial" w:cs="Arial"/>
          <w:sz w:val="18"/>
          <w:szCs w:val="20"/>
          <w:lang w:val="fr-FR"/>
        </w:rPr>
        <w:t>Le risque de marche de l’énergie est caractéristique d’une maque de visibilité de l’électrification rurale à long terme et une maque de transparence dans le cadre régulatrice, y compris la tarification de la production électrique par les mini-réseaux solaires photovoltaïques.</w:t>
      </w:r>
      <w:r w:rsidR="009B3734">
        <w:rPr>
          <w:rFonts w:ascii="Arial" w:hAnsi="Arial" w:cs="Arial"/>
          <w:sz w:val="18"/>
          <w:szCs w:val="20"/>
          <w:lang w:val="fr-FR"/>
        </w:rPr>
        <w:t xml:space="preserve"> </w:t>
      </w:r>
      <w:r w:rsidR="005A5A43">
        <w:rPr>
          <w:rFonts w:ascii="Arial" w:hAnsi="Arial" w:cs="Arial"/>
          <w:sz w:val="18"/>
          <w:szCs w:val="20"/>
          <w:lang w:val="fr-FR"/>
        </w:rPr>
        <w:t>L</w:t>
      </w:r>
      <w:r w:rsidR="00775BB3" w:rsidRPr="00892D95">
        <w:rPr>
          <w:rFonts w:ascii="Arial" w:hAnsi="Arial" w:cs="Arial"/>
          <w:sz w:val="18"/>
          <w:szCs w:val="20"/>
          <w:lang w:val="fr-FR"/>
        </w:rPr>
        <w:t>e risqu</w:t>
      </w:r>
      <w:r w:rsidR="00775BB3">
        <w:rPr>
          <w:rFonts w:ascii="Arial" w:hAnsi="Arial" w:cs="Arial"/>
          <w:sz w:val="18"/>
          <w:szCs w:val="20"/>
          <w:lang w:val="fr-FR"/>
        </w:rPr>
        <w:t>e</w:t>
      </w:r>
      <w:r w:rsidR="00775BB3" w:rsidRPr="00892D95">
        <w:rPr>
          <w:rFonts w:ascii="Arial" w:hAnsi="Arial" w:cs="Arial"/>
          <w:sz w:val="18"/>
          <w:szCs w:val="20"/>
          <w:lang w:val="fr-FR"/>
        </w:rPr>
        <w:t xml:space="preserve"> souverain </w:t>
      </w:r>
      <w:r w:rsidR="00775BB3">
        <w:rPr>
          <w:rFonts w:ascii="Arial" w:hAnsi="Arial" w:cs="Arial"/>
          <w:sz w:val="18"/>
          <w:szCs w:val="20"/>
          <w:lang w:val="fr-FR"/>
        </w:rPr>
        <w:t xml:space="preserve">résulte d’un ensemble de caractéristiques politiques, </w:t>
      </w:r>
      <w:r w:rsidR="0027123E">
        <w:rPr>
          <w:rFonts w:ascii="Arial" w:hAnsi="Arial" w:cs="Arial"/>
          <w:sz w:val="18"/>
          <w:szCs w:val="20"/>
          <w:lang w:val="fr-FR"/>
        </w:rPr>
        <w:t>socio</w:t>
      </w:r>
      <w:r w:rsidR="00775BB3">
        <w:rPr>
          <w:rFonts w:ascii="Arial" w:hAnsi="Arial" w:cs="Arial"/>
          <w:sz w:val="18"/>
          <w:szCs w:val="20"/>
          <w:lang w:val="fr-FR"/>
        </w:rPr>
        <w:t>économique</w:t>
      </w:r>
      <w:r w:rsidR="0027123E">
        <w:rPr>
          <w:rFonts w:ascii="Arial" w:hAnsi="Arial" w:cs="Arial"/>
          <w:sz w:val="18"/>
          <w:szCs w:val="20"/>
          <w:lang w:val="fr-FR"/>
        </w:rPr>
        <w:t>s, institutionnelles</w:t>
      </w:r>
      <w:r w:rsidR="00775BB3">
        <w:rPr>
          <w:rFonts w:ascii="Arial" w:hAnsi="Arial" w:cs="Arial"/>
          <w:sz w:val="18"/>
          <w:szCs w:val="20"/>
          <w:lang w:val="fr-FR"/>
        </w:rPr>
        <w:t xml:space="preserve"> </w:t>
      </w:r>
      <w:r w:rsidR="0027123E">
        <w:rPr>
          <w:rFonts w:ascii="Arial" w:hAnsi="Arial" w:cs="Arial"/>
          <w:sz w:val="18"/>
          <w:szCs w:val="20"/>
          <w:lang w:val="fr-FR"/>
        </w:rPr>
        <w:t xml:space="preserve">et de sécurité </w:t>
      </w:r>
      <w:r w:rsidR="00775BB3">
        <w:rPr>
          <w:rFonts w:ascii="Arial" w:hAnsi="Arial" w:cs="Arial"/>
          <w:sz w:val="18"/>
          <w:szCs w:val="20"/>
          <w:lang w:val="fr-FR"/>
        </w:rPr>
        <w:t xml:space="preserve">propres au pays </w:t>
      </w:r>
      <w:r w:rsidR="0027123E">
        <w:rPr>
          <w:rFonts w:ascii="Arial" w:hAnsi="Arial" w:cs="Arial"/>
          <w:sz w:val="18"/>
          <w:szCs w:val="20"/>
          <w:lang w:val="fr-FR"/>
        </w:rPr>
        <w:t>et qui touchent à tous les secteur</w:t>
      </w:r>
      <w:r w:rsidR="005A5A43">
        <w:rPr>
          <w:rFonts w:ascii="Arial" w:hAnsi="Arial" w:cs="Arial"/>
          <w:sz w:val="18"/>
          <w:szCs w:val="20"/>
          <w:lang w:val="fr-FR"/>
        </w:rPr>
        <w:t>s</w:t>
      </w:r>
      <w:r w:rsidR="0027123E">
        <w:rPr>
          <w:rFonts w:ascii="Arial" w:hAnsi="Arial" w:cs="Arial"/>
          <w:sz w:val="18"/>
          <w:szCs w:val="20"/>
          <w:lang w:val="fr-FR"/>
        </w:rPr>
        <w:t xml:space="preserve"> économiques du pays, </w:t>
      </w:r>
      <w:r w:rsidR="00775BB3">
        <w:rPr>
          <w:rFonts w:ascii="Arial" w:hAnsi="Arial" w:cs="Arial"/>
          <w:sz w:val="18"/>
          <w:szCs w:val="20"/>
          <w:lang w:val="fr-FR"/>
        </w:rPr>
        <w:t xml:space="preserve">et non </w:t>
      </w:r>
      <w:r w:rsidR="0027123E">
        <w:rPr>
          <w:rFonts w:ascii="Arial" w:hAnsi="Arial" w:cs="Arial"/>
          <w:sz w:val="18"/>
          <w:szCs w:val="20"/>
          <w:lang w:val="fr-FR"/>
        </w:rPr>
        <w:t xml:space="preserve">pas seulement </w:t>
      </w:r>
      <w:r w:rsidR="00775BB3">
        <w:rPr>
          <w:rFonts w:ascii="Arial" w:hAnsi="Arial" w:cs="Arial"/>
          <w:sz w:val="18"/>
          <w:szCs w:val="20"/>
          <w:lang w:val="fr-FR"/>
        </w:rPr>
        <w:t>aux mini-réseaux</w:t>
      </w:r>
      <w:r w:rsidR="0027123E">
        <w:rPr>
          <w:rFonts w:ascii="Arial" w:hAnsi="Arial" w:cs="Arial"/>
          <w:sz w:val="18"/>
          <w:szCs w:val="20"/>
          <w:lang w:val="fr-FR"/>
        </w:rPr>
        <w:t xml:space="preserve">. </w:t>
      </w:r>
      <w:r w:rsidR="005A5A43">
        <w:rPr>
          <w:rFonts w:ascii="Arial" w:hAnsi="Arial" w:cs="Arial"/>
          <w:sz w:val="18"/>
          <w:szCs w:val="20"/>
          <w:lang w:val="fr-FR"/>
        </w:rPr>
        <w:t>Dans le milieu rural il y a un manque de main d’œuvre local qui implique des co</w:t>
      </w:r>
      <w:r w:rsidR="005A5A43" w:rsidRPr="005A5A43">
        <w:rPr>
          <w:rFonts w:ascii="Arial" w:hAnsi="Arial" w:cs="Arial"/>
          <w:sz w:val="18"/>
          <w:szCs w:val="20"/>
          <w:lang w:val="fr-FR"/>
        </w:rPr>
        <w:t>û</w:t>
      </w:r>
      <w:r w:rsidR="005A5A43">
        <w:rPr>
          <w:rFonts w:ascii="Arial" w:hAnsi="Arial" w:cs="Arial"/>
          <w:sz w:val="18"/>
          <w:szCs w:val="20"/>
          <w:lang w:val="fr-FR"/>
        </w:rPr>
        <w:t xml:space="preserve">ts additionnels pour la construction, l’opération et la maintenance des mini-réseaux. </w:t>
      </w:r>
      <w:r w:rsidR="005A5A43" w:rsidRPr="005A5A43">
        <w:rPr>
          <w:rFonts w:ascii="Arial" w:hAnsi="Arial" w:cs="Arial"/>
          <w:sz w:val="18"/>
          <w:szCs w:val="20"/>
          <w:lang w:val="fr-FR"/>
        </w:rPr>
        <w:t xml:space="preserve">Le risque de financement est lié à la pénurie de capitaux à long terme et le manque de familiarité des </w:t>
      </w:r>
      <w:r w:rsidR="005A5A43" w:rsidRPr="005A5A43">
        <w:rPr>
          <w:rFonts w:ascii="Arial" w:hAnsi="Arial" w:cs="Arial"/>
          <w:sz w:val="18"/>
          <w:szCs w:val="20"/>
          <w:lang w:val="fr-FR"/>
        </w:rPr>
        <w:lastRenderedPageBreak/>
        <w:t>investisseurs avec les mini-réseaux</w:t>
      </w:r>
      <w:r w:rsidR="005A5A43">
        <w:rPr>
          <w:rFonts w:ascii="Arial" w:hAnsi="Arial" w:cs="Arial"/>
          <w:sz w:val="18"/>
          <w:szCs w:val="20"/>
          <w:lang w:val="fr-FR"/>
        </w:rPr>
        <w:t xml:space="preserve">. </w:t>
      </w:r>
      <w:r w:rsidR="0027123E">
        <w:rPr>
          <w:rFonts w:ascii="Arial" w:hAnsi="Arial" w:cs="Arial"/>
          <w:sz w:val="18"/>
          <w:szCs w:val="20"/>
          <w:lang w:val="fr-FR"/>
        </w:rPr>
        <w:t>L</w:t>
      </w:r>
      <w:r w:rsidR="00775BB3" w:rsidRPr="00892D95">
        <w:rPr>
          <w:rFonts w:ascii="Arial" w:hAnsi="Arial" w:cs="Arial"/>
          <w:sz w:val="18"/>
          <w:szCs w:val="20"/>
          <w:lang w:val="fr-FR"/>
        </w:rPr>
        <w:t>e ri</w:t>
      </w:r>
      <w:r w:rsidR="00775BB3">
        <w:rPr>
          <w:rFonts w:ascii="Arial" w:hAnsi="Arial" w:cs="Arial"/>
          <w:sz w:val="18"/>
          <w:szCs w:val="20"/>
          <w:lang w:val="fr-FR"/>
        </w:rPr>
        <w:t>sque promoteur, qui découle des limites du promoteur du mini-réseau en termes de capacité de gestion, solvabilité et trésorerie.</w:t>
      </w:r>
      <w:r w:rsidR="00775BB3" w:rsidRPr="00892D95">
        <w:rPr>
          <w:rFonts w:ascii="Arial" w:hAnsi="Arial" w:cs="Arial"/>
          <w:sz w:val="18"/>
          <w:szCs w:val="20"/>
          <w:lang w:val="fr-FR"/>
        </w:rPr>
        <w:t xml:space="preserve"> </w:t>
      </w:r>
      <w:r w:rsidR="0027123E">
        <w:rPr>
          <w:rFonts w:ascii="Arial" w:hAnsi="Arial" w:cs="Arial"/>
          <w:sz w:val="18"/>
          <w:szCs w:val="20"/>
          <w:lang w:val="fr-FR"/>
        </w:rPr>
        <w:t>Le risque de crédit de l’utilisateur final émane d’une faible capacité de paiement pour l’électricité surtout dans un contexte rural ou les revenus provenant des activités agricoles sont aléatoires.</w:t>
      </w:r>
    </w:p>
    <w:p w14:paraId="00219CA9" w14:textId="77777777" w:rsidR="00775BB3" w:rsidRPr="00775BB3" w:rsidRDefault="00775BB3" w:rsidP="00775BB3">
      <w:pPr>
        <w:pStyle w:val="ListParagraph"/>
        <w:spacing w:after="0"/>
        <w:rPr>
          <w:rFonts w:ascii="Arial" w:hAnsi="Arial" w:cs="Arial"/>
          <w:i/>
          <w:sz w:val="18"/>
          <w:szCs w:val="20"/>
          <w:lang w:val="fr-FR"/>
        </w:rPr>
      </w:pPr>
    </w:p>
    <w:p w14:paraId="21B0009A" w14:textId="26CFD776" w:rsidR="000B5FA0" w:rsidRDefault="000B5FA0" w:rsidP="000B5FA0">
      <w:pPr>
        <w:spacing w:after="0" w:line="276" w:lineRule="auto"/>
        <w:rPr>
          <w:rFonts w:ascii="Arial" w:hAnsi="Arial" w:cs="Arial"/>
          <w:b/>
          <w:sz w:val="18"/>
          <w:szCs w:val="20"/>
          <w:lang w:val="fr-FR"/>
        </w:rPr>
      </w:pPr>
      <w:r w:rsidRPr="00BE0E75">
        <w:rPr>
          <w:rFonts w:ascii="Arial" w:hAnsi="Arial" w:cs="Arial"/>
          <w:b/>
          <w:sz w:val="18"/>
          <w:szCs w:val="20"/>
          <w:lang w:val="fr-FR"/>
        </w:rPr>
        <w:t xml:space="preserve">Figure 1: Impact </w:t>
      </w:r>
      <w:r w:rsidR="00076356" w:rsidRPr="00BE0E75">
        <w:rPr>
          <w:rFonts w:ascii="Arial" w:hAnsi="Arial" w:cs="Arial"/>
          <w:b/>
          <w:sz w:val="18"/>
          <w:szCs w:val="20"/>
          <w:lang w:val="fr-FR"/>
        </w:rPr>
        <w:t>des cat</w:t>
      </w:r>
      <w:r w:rsidR="002C0FCC">
        <w:rPr>
          <w:rFonts w:ascii="Arial" w:hAnsi="Arial" w:cs="Arial"/>
          <w:b/>
          <w:sz w:val="18"/>
          <w:szCs w:val="20"/>
          <w:lang w:val="fr-FR"/>
        </w:rPr>
        <w:t>é</w:t>
      </w:r>
      <w:r w:rsidR="00076356" w:rsidRPr="00BE0E75">
        <w:rPr>
          <w:rFonts w:ascii="Arial" w:hAnsi="Arial" w:cs="Arial"/>
          <w:b/>
          <w:sz w:val="18"/>
          <w:szCs w:val="20"/>
          <w:lang w:val="fr-FR"/>
        </w:rPr>
        <w:t>gories de risque sur le coût des fonds propres des</w:t>
      </w:r>
      <w:r w:rsidR="00BE0E75" w:rsidRPr="00BE0E75">
        <w:rPr>
          <w:rFonts w:ascii="Arial" w:hAnsi="Arial" w:cs="Arial"/>
          <w:b/>
          <w:sz w:val="18"/>
          <w:szCs w:val="20"/>
          <w:lang w:val="fr-FR"/>
        </w:rPr>
        <w:t xml:space="preserve"> investis</w:t>
      </w:r>
      <w:r w:rsidR="00BE0E75">
        <w:rPr>
          <w:rFonts w:ascii="Arial" w:hAnsi="Arial" w:cs="Arial"/>
          <w:b/>
          <w:sz w:val="18"/>
          <w:szCs w:val="20"/>
          <w:lang w:val="fr-FR"/>
        </w:rPr>
        <w:t>sements dans les</w:t>
      </w:r>
      <w:r w:rsidR="00076356" w:rsidRPr="00BE0E75">
        <w:rPr>
          <w:rFonts w:ascii="Arial" w:hAnsi="Arial" w:cs="Arial"/>
          <w:b/>
          <w:sz w:val="18"/>
          <w:szCs w:val="20"/>
          <w:lang w:val="fr-FR"/>
        </w:rPr>
        <w:t xml:space="preserve"> mini-réseaux solaires au </w:t>
      </w:r>
      <w:r w:rsidR="00AF117C">
        <w:rPr>
          <w:rFonts w:ascii="Arial" w:hAnsi="Arial" w:cs="Arial"/>
          <w:b/>
          <w:sz w:val="18"/>
          <w:szCs w:val="20"/>
          <w:lang w:val="fr-FR"/>
        </w:rPr>
        <w:t>Mali</w:t>
      </w:r>
      <w:r w:rsidR="00285E7A">
        <w:rPr>
          <w:rFonts w:ascii="Arial" w:hAnsi="Arial" w:cs="Arial"/>
          <w:b/>
          <w:sz w:val="18"/>
          <w:szCs w:val="20"/>
          <w:lang w:val="fr-FR"/>
        </w:rPr>
        <w:t>,</w:t>
      </w:r>
      <w:r w:rsidRPr="00BE0E75">
        <w:rPr>
          <w:rFonts w:ascii="Arial" w:hAnsi="Arial" w:cs="Arial"/>
          <w:b/>
          <w:sz w:val="18"/>
          <w:szCs w:val="20"/>
          <w:lang w:val="fr-FR"/>
        </w:rPr>
        <w:t xml:space="preserve"> </w:t>
      </w:r>
      <w:r w:rsidR="00BE0E75">
        <w:rPr>
          <w:rFonts w:ascii="Arial" w:hAnsi="Arial" w:cs="Arial"/>
          <w:b/>
          <w:sz w:val="18"/>
          <w:szCs w:val="20"/>
          <w:lang w:val="fr-FR"/>
        </w:rPr>
        <w:t>scénario de référence</w:t>
      </w:r>
    </w:p>
    <w:p w14:paraId="2EF1C97D" w14:textId="77777777" w:rsidR="0027123E" w:rsidRPr="00BE0E75" w:rsidRDefault="0027123E" w:rsidP="000B5FA0">
      <w:pPr>
        <w:spacing w:after="0" w:line="276" w:lineRule="auto"/>
        <w:rPr>
          <w:rFonts w:ascii="Arial" w:hAnsi="Arial" w:cs="Arial"/>
          <w:b/>
          <w:sz w:val="18"/>
          <w:szCs w:val="20"/>
          <w:lang w:val="fr-FR"/>
        </w:rPr>
      </w:pPr>
    </w:p>
    <w:p w14:paraId="2D3A64DA" w14:textId="37B56AF4" w:rsidR="000B5FA0" w:rsidRDefault="0027123E" w:rsidP="00A050F0">
      <w:pPr>
        <w:spacing w:after="0" w:line="276" w:lineRule="auto"/>
        <w:jc w:val="center"/>
        <w:rPr>
          <w:rFonts w:ascii="Arial" w:hAnsi="Arial" w:cs="Arial"/>
          <w:b/>
          <w:sz w:val="18"/>
          <w:szCs w:val="20"/>
          <w:lang w:val="en-GB"/>
        </w:rPr>
      </w:pPr>
      <w:r>
        <w:rPr>
          <w:rFonts w:ascii="Arial" w:hAnsi="Arial" w:cs="Arial"/>
          <w:b/>
          <w:noProof/>
          <w:sz w:val="18"/>
          <w:szCs w:val="20"/>
          <w:lang w:val="en-GB" w:eastAsia="en-GB"/>
        </w:rPr>
        <w:drawing>
          <wp:inline distT="0" distB="0" distL="0" distR="0" wp14:anchorId="49B20A3E" wp14:editId="1BD0A90B">
            <wp:extent cx="3554619" cy="2074142"/>
            <wp:effectExtent l="0" t="0" r="825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7328" cy="2075722"/>
                    </a:xfrm>
                    <a:prstGeom prst="rect">
                      <a:avLst/>
                    </a:prstGeom>
                    <a:noFill/>
                  </pic:spPr>
                </pic:pic>
              </a:graphicData>
            </a:graphic>
          </wp:inline>
        </w:drawing>
      </w:r>
    </w:p>
    <w:p w14:paraId="1CFC51C5" w14:textId="77777777" w:rsidR="000C5BA7" w:rsidRDefault="000C5BA7" w:rsidP="000B5FA0">
      <w:pPr>
        <w:spacing w:after="0" w:line="276" w:lineRule="auto"/>
        <w:rPr>
          <w:rFonts w:ascii="Arial" w:hAnsi="Arial" w:cs="Arial"/>
          <w:sz w:val="12"/>
          <w:szCs w:val="20"/>
          <w:lang w:val="fr-FR"/>
        </w:rPr>
      </w:pPr>
    </w:p>
    <w:p w14:paraId="74671DF1" w14:textId="70113B9A" w:rsidR="000B5FA0" w:rsidRPr="00B4735A" w:rsidRDefault="000B5FA0" w:rsidP="000B5FA0">
      <w:pPr>
        <w:spacing w:after="0" w:line="276" w:lineRule="auto"/>
        <w:rPr>
          <w:rFonts w:ascii="Arial" w:hAnsi="Arial" w:cs="Arial"/>
          <w:b/>
          <w:sz w:val="18"/>
          <w:szCs w:val="20"/>
          <w:lang w:val="fr-FR"/>
        </w:rPr>
      </w:pPr>
      <w:r w:rsidRPr="00B4735A">
        <w:rPr>
          <w:rFonts w:ascii="Arial" w:hAnsi="Arial" w:cs="Arial"/>
          <w:sz w:val="12"/>
          <w:szCs w:val="20"/>
          <w:lang w:val="fr-FR"/>
        </w:rPr>
        <w:t xml:space="preserve">Source: </w:t>
      </w:r>
      <w:r w:rsidR="00B4735A" w:rsidRPr="00B4735A">
        <w:rPr>
          <w:rFonts w:ascii="Arial" w:hAnsi="Arial" w:cs="Arial"/>
          <w:sz w:val="12"/>
          <w:szCs w:val="20"/>
          <w:lang w:val="fr-FR"/>
        </w:rPr>
        <w:t xml:space="preserve">entretiens avec des acteurs du secteur des mini-réseaux solaires; la modélisation utilise </w:t>
      </w:r>
      <w:r w:rsidR="003823DB">
        <w:rPr>
          <w:rFonts w:ascii="Arial" w:hAnsi="Arial" w:cs="Arial"/>
          <w:sz w:val="12"/>
          <w:szCs w:val="20"/>
          <w:lang w:val="fr-FR"/>
        </w:rPr>
        <w:t>un</w:t>
      </w:r>
      <w:r w:rsidR="000C5BA7">
        <w:rPr>
          <w:rFonts w:ascii="Arial" w:hAnsi="Arial" w:cs="Arial"/>
          <w:sz w:val="12"/>
          <w:szCs w:val="20"/>
          <w:lang w:val="fr-FR"/>
        </w:rPr>
        <w:t xml:space="preserve"> pays de </w:t>
      </w:r>
      <w:r w:rsidR="00B4735A" w:rsidRPr="00B4735A">
        <w:rPr>
          <w:rFonts w:ascii="Arial" w:hAnsi="Arial" w:cs="Arial"/>
          <w:sz w:val="12"/>
          <w:szCs w:val="20"/>
          <w:lang w:val="fr-FR"/>
        </w:rPr>
        <w:t>référence ; voir le document “Méthodologie et Hypothèses” pour plus de détails.</w:t>
      </w:r>
    </w:p>
    <w:p w14:paraId="32F4A34F" w14:textId="442A1991" w:rsidR="000B5FA0" w:rsidRPr="00C50BB4" w:rsidRDefault="00B4735A" w:rsidP="000B5FA0">
      <w:pPr>
        <w:spacing w:before="120" w:after="0" w:line="240" w:lineRule="auto"/>
        <w:rPr>
          <w:color w:val="0070C0"/>
          <w:sz w:val="28"/>
          <w:lang w:val="fr-FR"/>
        </w:rPr>
      </w:pPr>
      <w:r w:rsidRPr="00C50BB4">
        <w:rPr>
          <w:color w:val="0070C0"/>
          <w:sz w:val="28"/>
          <w:lang w:val="fr-FR"/>
        </w:rPr>
        <w:t>Actions publiques d’atténuation des risques</w:t>
      </w:r>
      <w:r w:rsidR="000B5FA0" w:rsidRPr="00C50BB4">
        <w:rPr>
          <w:color w:val="0070C0"/>
          <w:sz w:val="28"/>
          <w:lang w:val="fr-FR"/>
        </w:rPr>
        <w:t xml:space="preserve"> </w:t>
      </w:r>
    </w:p>
    <w:p w14:paraId="6E29D1CE" w14:textId="77777777" w:rsidR="000B5FA0" w:rsidRPr="00C50BB4" w:rsidRDefault="000B5FA0" w:rsidP="000B5FA0">
      <w:pPr>
        <w:spacing w:after="0"/>
        <w:rPr>
          <w:rFonts w:ascii="Arial" w:hAnsi="Arial" w:cs="Arial"/>
          <w:sz w:val="20"/>
          <w:szCs w:val="20"/>
          <w:lang w:val="fr-FR"/>
        </w:rPr>
      </w:pPr>
    </w:p>
    <w:p w14:paraId="5562D04F" w14:textId="61A5E270" w:rsidR="000B5FA0" w:rsidRPr="00685AE3" w:rsidRDefault="0054767A" w:rsidP="000B5FA0">
      <w:pPr>
        <w:spacing w:after="0"/>
        <w:jc w:val="both"/>
        <w:rPr>
          <w:rFonts w:ascii="Arial" w:hAnsi="Arial" w:cs="Arial"/>
          <w:sz w:val="18"/>
          <w:szCs w:val="20"/>
          <w:lang w:val="fr-FR"/>
        </w:rPr>
      </w:pPr>
      <w:r w:rsidRPr="00CB6DB5">
        <w:rPr>
          <w:rFonts w:ascii="Arial" w:hAnsi="Arial" w:cs="Arial"/>
          <w:sz w:val="18"/>
          <w:szCs w:val="20"/>
          <w:lang w:val="fr-FR"/>
        </w:rPr>
        <w:t>L</w:t>
      </w:r>
      <w:r w:rsidR="00CC34F9">
        <w:rPr>
          <w:rFonts w:ascii="Arial" w:hAnsi="Arial" w:cs="Arial"/>
          <w:sz w:val="18"/>
          <w:szCs w:val="20"/>
          <w:lang w:val="fr-FR"/>
        </w:rPr>
        <w:t>’</w:t>
      </w:r>
      <w:r w:rsidR="00C37CAE" w:rsidRPr="00CB6DB5">
        <w:rPr>
          <w:rFonts w:ascii="Arial" w:hAnsi="Arial" w:cs="Arial"/>
          <w:sz w:val="18"/>
          <w:szCs w:val="20"/>
          <w:lang w:val="fr-FR"/>
        </w:rPr>
        <w:t>étude examine la s</w:t>
      </w:r>
      <w:r w:rsidR="00CC34F9">
        <w:rPr>
          <w:rFonts w:ascii="Arial" w:hAnsi="Arial" w:cs="Arial"/>
          <w:sz w:val="18"/>
          <w:szCs w:val="20"/>
          <w:lang w:val="fr-FR"/>
        </w:rPr>
        <w:t>é</w:t>
      </w:r>
      <w:r w:rsidR="00C37CAE" w:rsidRPr="00CB6DB5">
        <w:rPr>
          <w:rFonts w:ascii="Arial" w:hAnsi="Arial" w:cs="Arial"/>
          <w:sz w:val="18"/>
          <w:szCs w:val="20"/>
          <w:lang w:val="fr-FR"/>
        </w:rPr>
        <w:t>lection et la rentabilité des interventions publiques</w:t>
      </w:r>
      <w:r w:rsidR="00CB6DB5" w:rsidRPr="00CB6DB5">
        <w:rPr>
          <w:rFonts w:ascii="Arial" w:hAnsi="Arial" w:cs="Arial"/>
          <w:sz w:val="18"/>
          <w:szCs w:val="20"/>
          <w:lang w:val="fr-FR"/>
        </w:rPr>
        <w:t xml:space="preserve"> d’atténuation des risques</w:t>
      </w:r>
      <w:r w:rsidR="00C37CAE" w:rsidRPr="00CB6DB5">
        <w:rPr>
          <w:rFonts w:ascii="Arial" w:hAnsi="Arial" w:cs="Arial"/>
          <w:sz w:val="18"/>
          <w:szCs w:val="20"/>
          <w:lang w:val="fr-FR"/>
        </w:rPr>
        <w:t xml:space="preserve"> destinées</w:t>
      </w:r>
      <w:r w:rsidR="00CB6DB5" w:rsidRPr="00CB6DB5">
        <w:rPr>
          <w:rFonts w:ascii="Arial" w:hAnsi="Arial" w:cs="Arial"/>
          <w:sz w:val="18"/>
          <w:szCs w:val="20"/>
          <w:lang w:val="fr-FR"/>
        </w:rPr>
        <w:t xml:space="preserve"> à </w:t>
      </w:r>
      <w:r w:rsidR="00CB6DB5">
        <w:rPr>
          <w:rFonts w:ascii="Arial" w:hAnsi="Arial" w:cs="Arial"/>
          <w:sz w:val="18"/>
          <w:szCs w:val="20"/>
          <w:lang w:val="fr-FR"/>
        </w:rPr>
        <w:t xml:space="preserve">favoriser la réalisation de l’objectif d’investissement </w:t>
      </w:r>
      <w:r w:rsidR="00CC34F9">
        <w:rPr>
          <w:rFonts w:ascii="Arial" w:hAnsi="Arial" w:cs="Arial"/>
          <w:sz w:val="18"/>
          <w:szCs w:val="20"/>
          <w:lang w:val="fr-FR"/>
        </w:rPr>
        <w:t>à l’horizon 203</w:t>
      </w:r>
      <w:r w:rsidR="00952207">
        <w:rPr>
          <w:rFonts w:ascii="Arial" w:hAnsi="Arial" w:cs="Arial"/>
          <w:sz w:val="18"/>
          <w:szCs w:val="20"/>
          <w:lang w:val="fr-FR"/>
        </w:rPr>
        <w:t>0</w:t>
      </w:r>
      <w:r w:rsidR="00CC34F9">
        <w:rPr>
          <w:rFonts w:ascii="Arial" w:hAnsi="Arial" w:cs="Arial"/>
          <w:sz w:val="18"/>
          <w:szCs w:val="20"/>
          <w:lang w:val="fr-FR"/>
        </w:rPr>
        <w:t>. Les interventions publiques</w:t>
      </w:r>
      <w:r w:rsidR="00341BB7">
        <w:rPr>
          <w:rFonts w:ascii="Arial" w:hAnsi="Arial" w:cs="Arial"/>
          <w:sz w:val="18"/>
          <w:szCs w:val="20"/>
          <w:lang w:val="fr-FR"/>
        </w:rPr>
        <w:t xml:space="preserve"> peuvent être définies car des interventions par le gouvernement et ses partenaires qui font face à des risques</w:t>
      </w:r>
      <w:r w:rsidR="000933A6">
        <w:rPr>
          <w:rFonts w:ascii="Arial" w:hAnsi="Arial" w:cs="Arial"/>
          <w:sz w:val="18"/>
          <w:szCs w:val="20"/>
          <w:lang w:val="fr-FR"/>
        </w:rPr>
        <w:t xml:space="preserve"> aux investissements spécifiques sous la forme de politiques publiques, programmes ou de produits financiers</w:t>
      </w:r>
      <w:r w:rsidR="002C0FCC">
        <w:rPr>
          <w:rFonts w:ascii="Arial" w:hAnsi="Arial" w:cs="Arial"/>
          <w:sz w:val="18"/>
          <w:szCs w:val="20"/>
          <w:lang w:val="fr-FR"/>
        </w:rPr>
        <w:t>.</w:t>
      </w:r>
      <w:r w:rsidR="000933A6">
        <w:rPr>
          <w:rFonts w:ascii="Arial" w:hAnsi="Arial" w:cs="Arial"/>
          <w:sz w:val="18"/>
          <w:szCs w:val="20"/>
          <w:lang w:val="fr-FR"/>
        </w:rPr>
        <w:t xml:space="preserve"> Le tableau 1 ci-dessous présente l’ensemble d</w:t>
      </w:r>
      <w:r w:rsidR="000C5BA7">
        <w:rPr>
          <w:rFonts w:ascii="Arial" w:hAnsi="Arial" w:cs="Arial"/>
          <w:sz w:val="18"/>
          <w:szCs w:val="20"/>
          <w:lang w:val="fr-FR"/>
        </w:rPr>
        <w:t>es instruments publics d’atténuations de risque</w:t>
      </w:r>
      <w:r w:rsidR="00685AE3">
        <w:rPr>
          <w:rFonts w:ascii="Arial" w:hAnsi="Arial" w:cs="Arial"/>
          <w:sz w:val="18"/>
          <w:szCs w:val="20"/>
          <w:lang w:val="fr-FR"/>
        </w:rPr>
        <w:t xml:space="preserve"> </w:t>
      </w:r>
      <w:r w:rsidR="000C5BA7">
        <w:rPr>
          <w:rFonts w:ascii="Arial" w:hAnsi="Arial" w:cs="Arial"/>
          <w:sz w:val="18"/>
          <w:szCs w:val="20"/>
          <w:lang w:val="fr-FR"/>
        </w:rPr>
        <w:t>identifié</w:t>
      </w:r>
      <w:r w:rsidR="00685AE3">
        <w:rPr>
          <w:rFonts w:ascii="Arial" w:hAnsi="Arial" w:cs="Arial"/>
          <w:sz w:val="18"/>
          <w:szCs w:val="20"/>
          <w:lang w:val="fr-FR"/>
        </w:rPr>
        <w:t>s par la modélisation</w:t>
      </w:r>
      <w:r w:rsidR="000B5FA0" w:rsidRPr="00CB6DB5">
        <w:rPr>
          <w:rFonts w:ascii="Arial" w:hAnsi="Arial" w:cs="Arial"/>
          <w:sz w:val="18"/>
          <w:szCs w:val="20"/>
          <w:lang w:val="fr-FR"/>
        </w:rPr>
        <w:t>.</w:t>
      </w:r>
      <w:r w:rsidR="000B5FA0" w:rsidRPr="00685AE3">
        <w:rPr>
          <w:rFonts w:ascii="Arial" w:hAnsi="Arial" w:cs="Arial"/>
          <w:sz w:val="18"/>
          <w:szCs w:val="20"/>
          <w:lang w:val="fr-FR"/>
        </w:rPr>
        <w:t xml:space="preserve"> </w:t>
      </w:r>
    </w:p>
    <w:p w14:paraId="4ADE45EF" w14:textId="77777777" w:rsidR="000B5FA0" w:rsidRPr="00685AE3" w:rsidRDefault="000B5FA0" w:rsidP="000B5FA0">
      <w:pPr>
        <w:spacing w:after="0"/>
        <w:rPr>
          <w:rFonts w:ascii="Arial" w:hAnsi="Arial" w:cs="Arial"/>
          <w:sz w:val="20"/>
          <w:szCs w:val="20"/>
          <w:lang w:val="fr-FR"/>
        </w:rPr>
      </w:pPr>
    </w:p>
    <w:p w14:paraId="4C2DB67E" w14:textId="45CE06E4" w:rsidR="000B5FA0" w:rsidRPr="008061D0" w:rsidRDefault="00685AE3" w:rsidP="000B5FA0">
      <w:pPr>
        <w:pStyle w:val="ListParagraph"/>
        <w:numPr>
          <w:ilvl w:val="0"/>
          <w:numId w:val="1"/>
        </w:numPr>
        <w:spacing w:after="0"/>
        <w:rPr>
          <w:rFonts w:ascii="Arial" w:hAnsi="Arial" w:cs="Arial"/>
          <w:sz w:val="18"/>
          <w:szCs w:val="20"/>
          <w:lang w:val="fr-FR"/>
        </w:rPr>
      </w:pPr>
      <w:r w:rsidRPr="008A0562">
        <w:rPr>
          <w:rFonts w:ascii="Arial" w:hAnsi="Arial" w:cs="Arial"/>
          <w:sz w:val="18"/>
          <w:szCs w:val="20"/>
          <w:lang w:val="fr-FR"/>
        </w:rPr>
        <w:t xml:space="preserve">En ce qui concerne </w:t>
      </w:r>
      <w:r w:rsidRPr="008B42C3">
        <w:rPr>
          <w:rFonts w:ascii="Arial" w:hAnsi="Arial" w:cs="Arial"/>
          <w:sz w:val="18"/>
          <w:szCs w:val="20"/>
          <w:lang w:val="fr-FR"/>
        </w:rPr>
        <w:t xml:space="preserve">l’objectif d’investissement dans </w:t>
      </w:r>
      <w:r w:rsidR="000C5BA7">
        <w:rPr>
          <w:rFonts w:ascii="Arial" w:hAnsi="Arial" w:cs="Arial"/>
          <w:sz w:val="18"/>
          <w:szCs w:val="20"/>
          <w:lang w:val="fr-FR"/>
        </w:rPr>
        <w:t>39,7</w:t>
      </w:r>
      <w:r w:rsidR="008A0562" w:rsidRPr="008B42C3">
        <w:rPr>
          <w:rFonts w:ascii="Arial" w:hAnsi="Arial" w:cs="Arial"/>
          <w:sz w:val="18"/>
          <w:szCs w:val="20"/>
          <w:lang w:val="fr-FR"/>
        </w:rPr>
        <w:t xml:space="preserve"> MW de mini-réseaux solaires à l’horizon 203</w:t>
      </w:r>
      <w:r w:rsidR="00952207" w:rsidRPr="008B42C3">
        <w:rPr>
          <w:rFonts w:ascii="Arial" w:hAnsi="Arial" w:cs="Arial"/>
          <w:sz w:val="18"/>
          <w:szCs w:val="20"/>
          <w:lang w:val="fr-FR"/>
        </w:rPr>
        <w:t>0</w:t>
      </w:r>
      <w:r w:rsidR="008A0562" w:rsidRPr="008B42C3">
        <w:rPr>
          <w:rFonts w:ascii="Arial" w:hAnsi="Arial" w:cs="Arial"/>
          <w:sz w:val="18"/>
          <w:szCs w:val="20"/>
          <w:lang w:val="fr-FR"/>
        </w:rPr>
        <w:t xml:space="preserve">, </w:t>
      </w:r>
      <w:r w:rsidR="004B23FC" w:rsidRPr="008B42C3">
        <w:rPr>
          <w:rFonts w:ascii="Arial" w:hAnsi="Arial" w:cs="Arial"/>
          <w:sz w:val="18"/>
          <w:szCs w:val="20"/>
          <w:lang w:val="fr-FR"/>
        </w:rPr>
        <w:t xml:space="preserve">l’étude </w:t>
      </w:r>
      <w:r w:rsidR="000B5FA0" w:rsidRPr="008B42C3">
        <w:rPr>
          <w:rFonts w:ascii="Arial" w:hAnsi="Arial" w:cs="Arial"/>
          <w:sz w:val="18"/>
          <w:szCs w:val="20"/>
          <w:lang w:val="fr-FR"/>
        </w:rPr>
        <w:t>identifie</w:t>
      </w:r>
      <w:r w:rsidR="004B23FC" w:rsidRPr="008B42C3">
        <w:rPr>
          <w:rFonts w:ascii="Arial" w:hAnsi="Arial" w:cs="Arial"/>
          <w:sz w:val="18"/>
          <w:szCs w:val="20"/>
          <w:lang w:val="fr-FR"/>
        </w:rPr>
        <w:t xml:space="preserve"> un ensemble ci</w:t>
      </w:r>
      <w:r w:rsidR="002C0FCC" w:rsidRPr="008B42C3">
        <w:rPr>
          <w:rFonts w:ascii="Arial" w:hAnsi="Arial" w:cs="Arial"/>
          <w:sz w:val="18"/>
          <w:szCs w:val="20"/>
          <w:lang w:val="fr-FR"/>
        </w:rPr>
        <w:t>b</w:t>
      </w:r>
      <w:r w:rsidR="004B23FC" w:rsidRPr="008B42C3">
        <w:rPr>
          <w:rFonts w:ascii="Arial" w:hAnsi="Arial" w:cs="Arial"/>
          <w:sz w:val="18"/>
          <w:szCs w:val="20"/>
          <w:lang w:val="fr-FR"/>
        </w:rPr>
        <w:t xml:space="preserve">lé d’interventions publiques avec un coût total estimé à </w:t>
      </w:r>
      <w:r w:rsidR="000C5BA7">
        <w:rPr>
          <w:rFonts w:ascii="Arial" w:hAnsi="Arial" w:cs="Arial"/>
          <w:sz w:val="18"/>
          <w:szCs w:val="20"/>
          <w:lang w:val="fr-FR"/>
        </w:rPr>
        <w:t>24,34</w:t>
      </w:r>
      <w:r w:rsidR="00E81CEE" w:rsidRPr="008B42C3">
        <w:rPr>
          <w:rFonts w:ascii="Arial" w:hAnsi="Arial" w:cs="Arial"/>
          <w:sz w:val="18"/>
          <w:szCs w:val="20"/>
          <w:lang w:val="fr-FR"/>
        </w:rPr>
        <w:t xml:space="preserve"> </w:t>
      </w:r>
      <w:r w:rsidR="000B5FA0" w:rsidRPr="008B42C3">
        <w:rPr>
          <w:rFonts w:ascii="Arial" w:hAnsi="Arial" w:cs="Arial"/>
          <w:sz w:val="18"/>
          <w:szCs w:val="20"/>
          <w:lang w:val="fr-FR"/>
        </w:rPr>
        <w:t>million</w:t>
      </w:r>
      <w:r w:rsidR="00177A87" w:rsidRPr="008B42C3">
        <w:rPr>
          <w:rFonts w:ascii="Arial" w:hAnsi="Arial" w:cs="Arial"/>
          <w:sz w:val="18"/>
          <w:szCs w:val="20"/>
          <w:lang w:val="fr-FR"/>
        </w:rPr>
        <w:t>s</w:t>
      </w:r>
      <w:r w:rsidR="004B23FC" w:rsidRPr="008B42C3">
        <w:rPr>
          <w:rFonts w:ascii="Arial" w:hAnsi="Arial" w:cs="Arial"/>
          <w:sz w:val="18"/>
          <w:szCs w:val="20"/>
          <w:lang w:val="fr-FR"/>
        </w:rPr>
        <w:t xml:space="preserve"> de dollars US</w:t>
      </w:r>
      <w:r w:rsidR="004B23FC">
        <w:rPr>
          <w:rFonts w:ascii="Arial" w:hAnsi="Arial" w:cs="Arial"/>
          <w:sz w:val="18"/>
          <w:szCs w:val="20"/>
          <w:lang w:val="fr-FR"/>
        </w:rPr>
        <w:t xml:space="preserve"> (USD)</w:t>
      </w:r>
      <w:r w:rsidR="000B5FA0" w:rsidRPr="008A0562">
        <w:rPr>
          <w:rFonts w:ascii="Arial" w:hAnsi="Arial" w:cs="Arial"/>
          <w:sz w:val="18"/>
          <w:szCs w:val="20"/>
          <w:lang w:val="fr-FR"/>
        </w:rPr>
        <w:t xml:space="preserve">. </w:t>
      </w:r>
      <w:r w:rsidR="004B23FC" w:rsidRPr="008061D0">
        <w:rPr>
          <w:rFonts w:ascii="Arial" w:hAnsi="Arial" w:cs="Arial"/>
          <w:sz w:val="18"/>
          <w:szCs w:val="20"/>
          <w:lang w:val="fr-FR"/>
        </w:rPr>
        <w:t xml:space="preserve">Ces mesures d’atténuation des risques </w:t>
      </w:r>
      <w:r w:rsidR="008061D0" w:rsidRPr="008061D0">
        <w:rPr>
          <w:rFonts w:ascii="Arial" w:hAnsi="Arial" w:cs="Arial"/>
          <w:sz w:val="18"/>
          <w:szCs w:val="20"/>
          <w:lang w:val="fr-FR"/>
        </w:rPr>
        <w:t xml:space="preserve">doivent produire les bénéfices </w:t>
      </w:r>
      <w:r w:rsidR="00177A87" w:rsidRPr="008061D0">
        <w:rPr>
          <w:rFonts w:ascii="Arial" w:hAnsi="Arial" w:cs="Arial"/>
          <w:sz w:val="18"/>
          <w:szCs w:val="20"/>
          <w:lang w:val="fr-FR"/>
        </w:rPr>
        <w:t>suivants :</w:t>
      </w:r>
      <w:r w:rsidR="000B5FA0" w:rsidRPr="008061D0">
        <w:rPr>
          <w:rFonts w:ascii="Arial" w:hAnsi="Arial" w:cs="Arial"/>
          <w:sz w:val="18"/>
          <w:szCs w:val="20"/>
          <w:lang w:val="fr-FR"/>
        </w:rPr>
        <w:t xml:space="preserve"> </w:t>
      </w:r>
    </w:p>
    <w:p w14:paraId="5568523B" w14:textId="64A5E32B" w:rsidR="00F02DA1" w:rsidRDefault="00F02DA1" w:rsidP="000B5FA0">
      <w:pPr>
        <w:pStyle w:val="ListParagraph"/>
        <w:numPr>
          <w:ilvl w:val="1"/>
          <w:numId w:val="1"/>
        </w:numPr>
        <w:spacing w:after="0"/>
        <w:rPr>
          <w:rFonts w:ascii="Arial" w:hAnsi="Arial" w:cs="Arial"/>
          <w:sz w:val="18"/>
          <w:szCs w:val="20"/>
          <w:lang w:val="fr-FR"/>
        </w:rPr>
      </w:pPr>
      <w:r>
        <w:rPr>
          <w:rFonts w:ascii="Arial" w:hAnsi="Arial" w:cs="Arial"/>
          <w:sz w:val="18"/>
          <w:szCs w:val="20"/>
          <w:lang w:val="fr-FR"/>
        </w:rPr>
        <w:t>Approvisionnement de l’électricité de source renouvelable à 653.617 personnes (117.865 ménages)</w:t>
      </w:r>
    </w:p>
    <w:p w14:paraId="10BEE35B" w14:textId="016F7F09" w:rsidR="000B5FA0" w:rsidRPr="008B42C3" w:rsidRDefault="000B5FA0" w:rsidP="000B5FA0">
      <w:pPr>
        <w:pStyle w:val="ListParagraph"/>
        <w:numPr>
          <w:ilvl w:val="1"/>
          <w:numId w:val="1"/>
        </w:numPr>
        <w:spacing w:after="0"/>
        <w:rPr>
          <w:rFonts w:ascii="Arial" w:hAnsi="Arial" w:cs="Arial"/>
          <w:sz w:val="18"/>
          <w:szCs w:val="20"/>
          <w:lang w:val="fr-FR"/>
        </w:rPr>
      </w:pPr>
      <w:r w:rsidRPr="008061D0">
        <w:rPr>
          <w:rFonts w:ascii="Arial" w:hAnsi="Arial" w:cs="Arial"/>
          <w:sz w:val="18"/>
          <w:szCs w:val="20"/>
          <w:lang w:val="fr-FR"/>
        </w:rPr>
        <w:t>Catalys</w:t>
      </w:r>
      <w:r w:rsidR="008061D0" w:rsidRPr="008061D0">
        <w:rPr>
          <w:rFonts w:ascii="Arial" w:hAnsi="Arial" w:cs="Arial"/>
          <w:sz w:val="18"/>
          <w:szCs w:val="20"/>
          <w:lang w:val="fr-FR"/>
        </w:rPr>
        <w:t>er des investissements du secteur pr</w:t>
      </w:r>
      <w:r w:rsidR="008061D0">
        <w:rPr>
          <w:rFonts w:ascii="Arial" w:hAnsi="Arial" w:cs="Arial"/>
          <w:sz w:val="18"/>
          <w:szCs w:val="20"/>
          <w:lang w:val="fr-FR"/>
        </w:rPr>
        <w:t xml:space="preserve">ivé à </w:t>
      </w:r>
      <w:r w:rsidR="008061D0" w:rsidRPr="008B42C3">
        <w:rPr>
          <w:rFonts w:ascii="Arial" w:hAnsi="Arial" w:cs="Arial"/>
          <w:sz w:val="18"/>
          <w:szCs w:val="20"/>
          <w:lang w:val="fr-FR"/>
        </w:rPr>
        <w:t>haute</w:t>
      </w:r>
      <w:r w:rsidR="00405E38" w:rsidRPr="008B42C3">
        <w:rPr>
          <w:rFonts w:ascii="Arial" w:hAnsi="Arial" w:cs="Arial"/>
          <w:sz w:val="18"/>
          <w:szCs w:val="20"/>
          <w:lang w:val="fr-FR"/>
        </w:rPr>
        <w:t>u</w:t>
      </w:r>
      <w:r w:rsidR="008061D0" w:rsidRPr="008B42C3">
        <w:rPr>
          <w:rFonts w:ascii="Arial" w:hAnsi="Arial" w:cs="Arial"/>
          <w:sz w:val="18"/>
          <w:szCs w:val="20"/>
          <w:lang w:val="fr-FR"/>
        </w:rPr>
        <w:t>r de</w:t>
      </w:r>
      <w:r w:rsidRPr="008B42C3">
        <w:rPr>
          <w:rFonts w:ascii="Arial" w:hAnsi="Arial" w:cs="Arial"/>
          <w:sz w:val="18"/>
          <w:szCs w:val="20"/>
          <w:lang w:val="fr-FR"/>
        </w:rPr>
        <w:t xml:space="preserve"> </w:t>
      </w:r>
      <w:r w:rsidR="008B42C3" w:rsidRPr="008B42C3">
        <w:rPr>
          <w:rFonts w:ascii="Arial" w:hAnsi="Arial" w:cs="Arial"/>
          <w:sz w:val="18"/>
          <w:szCs w:val="20"/>
          <w:lang w:val="fr-FR"/>
        </w:rPr>
        <w:t>1</w:t>
      </w:r>
      <w:r w:rsidR="000C5BA7">
        <w:rPr>
          <w:rFonts w:ascii="Arial" w:hAnsi="Arial" w:cs="Arial"/>
          <w:sz w:val="18"/>
          <w:szCs w:val="20"/>
          <w:lang w:val="fr-FR"/>
        </w:rPr>
        <w:t>13</w:t>
      </w:r>
      <w:r w:rsidR="008B42C3" w:rsidRPr="008B42C3">
        <w:rPr>
          <w:rFonts w:ascii="Arial" w:hAnsi="Arial" w:cs="Arial"/>
          <w:sz w:val="18"/>
          <w:szCs w:val="20"/>
          <w:lang w:val="fr-FR"/>
        </w:rPr>
        <w:t>,</w:t>
      </w:r>
      <w:r w:rsidR="000C5BA7">
        <w:rPr>
          <w:rFonts w:ascii="Arial" w:hAnsi="Arial" w:cs="Arial"/>
          <w:sz w:val="18"/>
          <w:szCs w:val="20"/>
          <w:lang w:val="fr-FR"/>
        </w:rPr>
        <w:t>11</w:t>
      </w:r>
      <w:r w:rsidR="008A28B4" w:rsidRPr="008B42C3">
        <w:rPr>
          <w:rFonts w:ascii="Arial" w:hAnsi="Arial" w:cs="Arial"/>
          <w:sz w:val="18"/>
          <w:szCs w:val="20"/>
          <w:lang w:val="fr-FR"/>
        </w:rPr>
        <w:t xml:space="preserve"> millions d’</w:t>
      </w:r>
      <w:r w:rsidR="00E81CEE" w:rsidRPr="008B42C3">
        <w:rPr>
          <w:rFonts w:ascii="Arial" w:hAnsi="Arial" w:cs="Arial"/>
          <w:sz w:val="18"/>
          <w:szCs w:val="20"/>
          <w:lang w:val="fr-FR"/>
        </w:rPr>
        <w:t>USD</w:t>
      </w:r>
      <w:r w:rsidRPr="008B42C3">
        <w:rPr>
          <w:rFonts w:ascii="Arial" w:hAnsi="Arial" w:cs="Arial"/>
          <w:sz w:val="18"/>
          <w:szCs w:val="20"/>
          <w:lang w:val="fr-FR"/>
        </w:rPr>
        <w:t xml:space="preserve"> </w:t>
      </w:r>
      <w:r w:rsidR="008061D0" w:rsidRPr="008B42C3">
        <w:rPr>
          <w:rFonts w:ascii="Arial" w:hAnsi="Arial" w:cs="Arial"/>
          <w:sz w:val="18"/>
          <w:szCs w:val="20"/>
          <w:lang w:val="fr-FR"/>
        </w:rPr>
        <w:t>da</w:t>
      </w:r>
      <w:r w:rsidR="000C5BA7">
        <w:rPr>
          <w:rFonts w:ascii="Arial" w:hAnsi="Arial" w:cs="Arial"/>
          <w:sz w:val="18"/>
          <w:szCs w:val="20"/>
          <w:lang w:val="fr-FR"/>
        </w:rPr>
        <w:t>ns les mini-réseaux solaires PV-</w:t>
      </w:r>
      <w:r w:rsidR="008061D0" w:rsidRPr="008B42C3">
        <w:rPr>
          <w:rFonts w:ascii="Arial" w:hAnsi="Arial" w:cs="Arial"/>
          <w:sz w:val="18"/>
          <w:szCs w:val="20"/>
          <w:lang w:val="fr-FR"/>
        </w:rPr>
        <w:t>batteries</w:t>
      </w:r>
    </w:p>
    <w:p w14:paraId="0624DCE6" w14:textId="1421DAF4" w:rsidR="000B5FA0" w:rsidRPr="00E47635" w:rsidRDefault="00772F7C" w:rsidP="000B5FA0">
      <w:pPr>
        <w:pStyle w:val="ListParagraph"/>
        <w:numPr>
          <w:ilvl w:val="1"/>
          <w:numId w:val="1"/>
        </w:numPr>
        <w:spacing w:after="0"/>
        <w:rPr>
          <w:rFonts w:ascii="Arial" w:hAnsi="Arial" w:cs="Arial"/>
          <w:sz w:val="18"/>
          <w:szCs w:val="20"/>
          <w:lang w:val="fr-FR"/>
        </w:rPr>
      </w:pPr>
      <w:r>
        <w:rPr>
          <w:rFonts w:ascii="Arial" w:hAnsi="Arial" w:cs="Arial"/>
          <w:sz w:val="18"/>
          <w:szCs w:val="20"/>
          <w:lang w:val="fr-FR"/>
        </w:rPr>
        <w:t>Diminuer le coût moyen actualisé</w:t>
      </w:r>
      <w:r w:rsidR="00E47635" w:rsidRPr="00E47635">
        <w:rPr>
          <w:rFonts w:ascii="Arial" w:hAnsi="Arial" w:cs="Arial"/>
          <w:sz w:val="18"/>
          <w:szCs w:val="20"/>
          <w:lang w:val="fr-FR"/>
        </w:rPr>
        <w:t xml:space="preserve"> de l’électricité </w:t>
      </w:r>
      <w:r w:rsidR="00E47635">
        <w:rPr>
          <w:rFonts w:ascii="Arial" w:hAnsi="Arial" w:cs="Arial"/>
          <w:sz w:val="18"/>
          <w:szCs w:val="20"/>
          <w:lang w:val="fr-FR"/>
        </w:rPr>
        <w:t xml:space="preserve">produite par les mini-réseaux </w:t>
      </w:r>
      <w:r w:rsidR="00E47635" w:rsidRPr="008105D5">
        <w:rPr>
          <w:rFonts w:ascii="Arial" w:hAnsi="Arial" w:cs="Arial"/>
          <w:sz w:val="18"/>
          <w:szCs w:val="20"/>
          <w:lang w:val="fr-FR"/>
        </w:rPr>
        <w:t xml:space="preserve">solaires de </w:t>
      </w:r>
      <w:r w:rsidR="000C5BA7">
        <w:rPr>
          <w:rFonts w:ascii="Arial" w:hAnsi="Arial" w:cs="Arial"/>
          <w:sz w:val="18"/>
          <w:szCs w:val="20"/>
          <w:lang w:val="fr-FR"/>
        </w:rPr>
        <w:t>83</w:t>
      </w:r>
      <w:r w:rsidR="008105D5" w:rsidRPr="008105D5">
        <w:rPr>
          <w:rFonts w:ascii="Arial" w:hAnsi="Arial" w:cs="Arial"/>
          <w:sz w:val="18"/>
          <w:szCs w:val="20"/>
          <w:lang w:val="fr-FR"/>
        </w:rPr>
        <w:t>,</w:t>
      </w:r>
      <w:r w:rsidR="000C5BA7">
        <w:rPr>
          <w:rFonts w:ascii="Arial" w:hAnsi="Arial" w:cs="Arial"/>
          <w:sz w:val="18"/>
          <w:szCs w:val="20"/>
          <w:lang w:val="fr-FR"/>
        </w:rPr>
        <w:t>2</w:t>
      </w:r>
      <w:r w:rsidR="00D87477" w:rsidRPr="008105D5">
        <w:rPr>
          <w:rFonts w:ascii="Arial" w:hAnsi="Arial" w:cs="Arial"/>
          <w:sz w:val="18"/>
          <w:szCs w:val="20"/>
          <w:lang w:val="fr-FR"/>
        </w:rPr>
        <w:t xml:space="preserve"> centimes d‘</w:t>
      </w:r>
      <w:r w:rsidR="00DD1E7C" w:rsidRPr="008105D5">
        <w:rPr>
          <w:rFonts w:ascii="Arial" w:hAnsi="Arial" w:cs="Arial"/>
          <w:sz w:val="18"/>
          <w:szCs w:val="20"/>
          <w:lang w:val="fr-FR"/>
        </w:rPr>
        <w:t xml:space="preserve">USD </w:t>
      </w:r>
      <w:r w:rsidR="00D87477" w:rsidRPr="008105D5">
        <w:rPr>
          <w:rFonts w:ascii="Arial" w:hAnsi="Arial" w:cs="Arial"/>
          <w:sz w:val="18"/>
          <w:szCs w:val="20"/>
          <w:lang w:val="fr-FR"/>
        </w:rPr>
        <w:t xml:space="preserve">à </w:t>
      </w:r>
      <w:r w:rsidR="000C5BA7">
        <w:rPr>
          <w:rFonts w:ascii="Arial" w:hAnsi="Arial" w:cs="Arial"/>
          <w:sz w:val="18"/>
          <w:szCs w:val="20"/>
          <w:lang w:val="fr-FR"/>
        </w:rPr>
        <w:t>51,1</w:t>
      </w:r>
      <w:r w:rsidR="00D87477" w:rsidRPr="008105D5">
        <w:rPr>
          <w:rFonts w:ascii="Arial" w:hAnsi="Arial" w:cs="Arial"/>
          <w:sz w:val="18"/>
          <w:szCs w:val="20"/>
          <w:lang w:val="fr-FR"/>
        </w:rPr>
        <w:t xml:space="preserve"> centimes d’USD par</w:t>
      </w:r>
      <w:r w:rsidR="000B5FA0" w:rsidRPr="008105D5">
        <w:rPr>
          <w:rFonts w:ascii="Arial" w:hAnsi="Arial" w:cs="Arial"/>
          <w:sz w:val="18"/>
          <w:szCs w:val="20"/>
          <w:lang w:val="fr-FR"/>
        </w:rPr>
        <w:t xml:space="preserve"> kWh</w:t>
      </w:r>
      <w:r w:rsidR="00E47635">
        <w:rPr>
          <w:rFonts w:ascii="Arial" w:hAnsi="Arial" w:cs="Arial"/>
          <w:sz w:val="18"/>
          <w:szCs w:val="20"/>
          <w:lang w:val="fr-FR"/>
        </w:rPr>
        <w:t xml:space="preserve"> </w:t>
      </w:r>
      <w:r w:rsidR="00AC057F">
        <w:rPr>
          <w:rFonts w:ascii="Arial" w:hAnsi="Arial" w:cs="Arial"/>
          <w:sz w:val="18"/>
          <w:szCs w:val="20"/>
          <w:lang w:val="fr-FR"/>
        </w:rPr>
        <w:t>grâce</w:t>
      </w:r>
      <w:r w:rsidR="00E47635">
        <w:rPr>
          <w:rFonts w:ascii="Arial" w:hAnsi="Arial" w:cs="Arial"/>
          <w:sz w:val="18"/>
          <w:szCs w:val="20"/>
          <w:lang w:val="fr-FR"/>
        </w:rPr>
        <w:t xml:space="preserve"> à l’atténuation des risques</w:t>
      </w:r>
    </w:p>
    <w:p w14:paraId="4F3B17EE" w14:textId="4418C42B" w:rsidR="000B5FA0" w:rsidRDefault="00FD5DAB" w:rsidP="000B5FA0">
      <w:pPr>
        <w:pStyle w:val="ListParagraph"/>
        <w:numPr>
          <w:ilvl w:val="1"/>
          <w:numId w:val="1"/>
        </w:numPr>
        <w:spacing w:after="0"/>
        <w:rPr>
          <w:rFonts w:ascii="Arial" w:hAnsi="Arial" w:cs="Arial"/>
          <w:sz w:val="18"/>
          <w:szCs w:val="20"/>
          <w:lang w:val="fr-FR"/>
        </w:rPr>
      </w:pPr>
      <w:r w:rsidRPr="007875C3">
        <w:rPr>
          <w:rFonts w:ascii="Arial" w:hAnsi="Arial" w:cs="Arial"/>
          <w:sz w:val="18"/>
          <w:szCs w:val="20"/>
          <w:lang w:val="fr-FR"/>
        </w:rPr>
        <w:t>Réalise</w:t>
      </w:r>
      <w:r w:rsidR="00C52342" w:rsidRPr="007875C3">
        <w:rPr>
          <w:rFonts w:ascii="Arial" w:hAnsi="Arial" w:cs="Arial"/>
          <w:sz w:val="18"/>
          <w:szCs w:val="20"/>
          <w:lang w:val="fr-FR"/>
        </w:rPr>
        <w:t xml:space="preserve">r des économies </w:t>
      </w:r>
      <w:r w:rsidR="007875C3" w:rsidRPr="00B05240">
        <w:rPr>
          <w:rFonts w:ascii="Arial" w:hAnsi="Arial" w:cs="Arial"/>
          <w:sz w:val="18"/>
          <w:szCs w:val="20"/>
          <w:lang w:val="fr-FR"/>
        </w:rPr>
        <w:t xml:space="preserve">liées à l’atténuation des risques des investissements dans les mini-réseaux solaires </w:t>
      </w:r>
      <w:r w:rsidR="007875C3" w:rsidRPr="007B6EB7">
        <w:rPr>
          <w:rFonts w:ascii="Arial" w:hAnsi="Arial" w:cs="Arial"/>
          <w:sz w:val="18"/>
          <w:szCs w:val="20"/>
          <w:lang w:val="fr-FR"/>
        </w:rPr>
        <w:t xml:space="preserve">de </w:t>
      </w:r>
      <w:r w:rsidR="000C5BA7">
        <w:rPr>
          <w:rFonts w:ascii="Arial" w:hAnsi="Arial" w:cs="Arial"/>
          <w:sz w:val="18"/>
          <w:szCs w:val="20"/>
          <w:lang w:val="fr-FR"/>
        </w:rPr>
        <w:t>185,75</w:t>
      </w:r>
      <w:r w:rsidR="000B5FA0" w:rsidRPr="007B6EB7">
        <w:rPr>
          <w:rFonts w:ascii="Arial" w:hAnsi="Arial" w:cs="Arial"/>
          <w:sz w:val="18"/>
          <w:szCs w:val="20"/>
          <w:lang w:val="fr-FR"/>
        </w:rPr>
        <w:t xml:space="preserve"> million</w:t>
      </w:r>
      <w:r w:rsidR="00D017B4" w:rsidRPr="007B6EB7">
        <w:rPr>
          <w:rFonts w:ascii="Arial" w:hAnsi="Arial" w:cs="Arial"/>
          <w:sz w:val="18"/>
          <w:szCs w:val="20"/>
          <w:lang w:val="fr-FR"/>
        </w:rPr>
        <w:t>s d’USD</w:t>
      </w:r>
      <w:r w:rsidR="000B5FA0" w:rsidRPr="007B6EB7">
        <w:rPr>
          <w:rFonts w:ascii="Arial" w:hAnsi="Arial" w:cs="Arial"/>
          <w:sz w:val="18"/>
          <w:szCs w:val="20"/>
          <w:lang w:val="fr-FR"/>
        </w:rPr>
        <w:t xml:space="preserve"> </w:t>
      </w:r>
      <w:r w:rsidR="00405E38" w:rsidRPr="007B6EB7">
        <w:rPr>
          <w:rFonts w:ascii="Arial" w:hAnsi="Arial" w:cs="Arial"/>
          <w:sz w:val="18"/>
          <w:szCs w:val="20"/>
          <w:lang w:val="fr-FR"/>
        </w:rPr>
        <w:t>au long de 20 ans</w:t>
      </w:r>
      <w:r w:rsidR="000B5FA0" w:rsidRPr="007B6EB7">
        <w:rPr>
          <w:rStyle w:val="FootnoteReference"/>
          <w:rFonts w:ascii="Arial" w:hAnsi="Arial" w:cs="Arial"/>
          <w:sz w:val="18"/>
          <w:szCs w:val="20"/>
          <w:lang w:val="en-GB"/>
        </w:rPr>
        <w:footnoteReference w:id="2"/>
      </w:r>
    </w:p>
    <w:p w14:paraId="052A85FC" w14:textId="565BB7BA" w:rsidR="00F02DA1" w:rsidRPr="007B6EB7" w:rsidRDefault="00F02DA1" w:rsidP="000B5FA0">
      <w:pPr>
        <w:pStyle w:val="ListParagraph"/>
        <w:numPr>
          <w:ilvl w:val="1"/>
          <w:numId w:val="1"/>
        </w:numPr>
        <w:spacing w:after="0"/>
        <w:rPr>
          <w:rFonts w:ascii="Arial" w:hAnsi="Arial" w:cs="Arial"/>
          <w:sz w:val="18"/>
          <w:szCs w:val="20"/>
          <w:lang w:val="fr-FR"/>
        </w:rPr>
      </w:pPr>
      <w:r>
        <w:rPr>
          <w:rFonts w:ascii="Arial" w:hAnsi="Arial" w:cs="Arial"/>
          <w:sz w:val="18"/>
          <w:szCs w:val="20"/>
          <w:lang w:val="fr-FR"/>
        </w:rPr>
        <w:t xml:space="preserve">Réduire la facture de l’électricité d’un ménage de 38,6% avec des épargnes d’USD 1,29 par ménage par semaine </w:t>
      </w:r>
    </w:p>
    <w:p w14:paraId="2911DE07" w14:textId="0BF4D9CE" w:rsidR="000B5FA0" w:rsidRPr="00405E38" w:rsidRDefault="000B5FA0" w:rsidP="000B5FA0">
      <w:pPr>
        <w:pStyle w:val="ListParagraph"/>
        <w:numPr>
          <w:ilvl w:val="1"/>
          <w:numId w:val="1"/>
        </w:numPr>
        <w:spacing w:after="0"/>
        <w:rPr>
          <w:rFonts w:ascii="Arial" w:hAnsi="Arial" w:cs="Arial"/>
          <w:sz w:val="18"/>
          <w:szCs w:val="20"/>
          <w:lang w:val="fr-FR"/>
        </w:rPr>
      </w:pPr>
      <w:r w:rsidRPr="007B6EB7">
        <w:rPr>
          <w:rFonts w:ascii="Arial" w:hAnsi="Arial" w:cs="Arial"/>
          <w:sz w:val="18"/>
          <w:szCs w:val="20"/>
          <w:lang w:val="fr-FR"/>
        </w:rPr>
        <w:lastRenderedPageBreak/>
        <w:t>R</w:t>
      </w:r>
      <w:r w:rsidR="00405E38" w:rsidRPr="007B6EB7">
        <w:rPr>
          <w:rFonts w:ascii="Arial" w:hAnsi="Arial" w:cs="Arial"/>
          <w:sz w:val="18"/>
          <w:szCs w:val="20"/>
          <w:lang w:val="fr-FR"/>
        </w:rPr>
        <w:t xml:space="preserve">éduire les émissions de </w:t>
      </w:r>
      <w:r w:rsidRPr="007B6EB7">
        <w:rPr>
          <w:rFonts w:ascii="Arial" w:hAnsi="Arial" w:cs="Arial"/>
          <w:sz w:val="18"/>
          <w:szCs w:val="20"/>
          <w:lang w:val="fr-FR"/>
        </w:rPr>
        <w:t>carbon</w:t>
      </w:r>
      <w:r w:rsidR="00405E38" w:rsidRPr="007B6EB7">
        <w:rPr>
          <w:rFonts w:ascii="Arial" w:hAnsi="Arial" w:cs="Arial"/>
          <w:sz w:val="18"/>
          <w:szCs w:val="20"/>
          <w:lang w:val="fr-FR"/>
        </w:rPr>
        <w:t>e de</w:t>
      </w:r>
      <w:r w:rsidRPr="007B6EB7">
        <w:rPr>
          <w:rFonts w:ascii="Arial" w:hAnsi="Arial" w:cs="Arial"/>
          <w:sz w:val="18"/>
          <w:szCs w:val="20"/>
          <w:lang w:val="fr-FR"/>
        </w:rPr>
        <w:t xml:space="preserve"> </w:t>
      </w:r>
      <w:r w:rsidR="000C5BA7">
        <w:rPr>
          <w:rFonts w:ascii="Arial" w:hAnsi="Arial" w:cs="Arial"/>
          <w:sz w:val="18"/>
          <w:szCs w:val="20"/>
          <w:lang w:val="fr-FR"/>
        </w:rPr>
        <w:t>1200000</w:t>
      </w:r>
      <w:r w:rsidRPr="007B6EB7">
        <w:rPr>
          <w:rFonts w:ascii="Arial" w:hAnsi="Arial" w:cs="Arial"/>
          <w:sz w:val="18"/>
          <w:szCs w:val="20"/>
          <w:lang w:val="fr-FR"/>
        </w:rPr>
        <w:t xml:space="preserve"> tonnes </w:t>
      </w:r>
      <w:r w:rsidR="00405E38" w:rsidRPr="007B6EB7">
        <w:rPr>
          <w:rFonts w:ascii="Arial" w:hAnsi="Arial" w:cs="Arial"/>
          <w:sz w:val="18"/>
          <w:szCs w:val="20"/>
          <w:lang w:val="fr-FR"/>
        </w:rPr>
        <w:t>de</w:t>
      </w:r>
      <w:r w:rsidRPr="007B6EB7">
        <w:rPr>
          <w:rFonts w:ascii="Arial" w:hAnsi="Arial" w:cs="Arial"/>
          <w:sz w:val="18"/>
          <w:szCs w:val="20"/>
          <w:lang w:val="fr-FR"/>
        </w:rPr>
        <w:t xml:space="preserve"> CO</w:t>
      </w:r>
      <w:r w:rsidR="000C5BA7" w:rsidRPr="000C5BA7">
        <w:rPr>
          <w:rFonts w:ascii="Arial" w:hAnsi="Arial" w:cs="Arial"/>
          <w:sz w:val="18"/>
          <w:szCs w:val="20"/>
          <w:vertAlign w:val="subscript"/>
          <w:lang w:val="fr-FR"/>
        </w:rPr>
        <w:t>2</w:t>
      </w:r>
      <w:r w:rsidRPr="00405E38">
        <w:rPr>
          <w:rFonts w:ascii="Arial" w:hAnsi="Arial" w:cs="Arial"/>
          <w:sz w:val="18"/>
          <w:szCs w:val="20"/>
          <w:lang w:val="fr-FR"/>
        </w:rPr>
        <w:t xml:space="preserve"> </w:t>
      </w:r>
      <w:r w:rsidR="003151D1">
        <w:rPr>
          <w:rFonts w:ascii="Arial" w:hAnsi="Arial" w:cs="Arial"/>
          <w:sz w:val="18"/>
          <w:szCs w:val="20"/>
          <w:lang w:val="fr-FR"/>
        </w:rPr>
        <w:t>sur</w:t>
      </w:r>
      <w:r w:rsidRPr="00405E38">
        <w:rPr>
          <w:rFonts w:ascii="Arial" w:hAnsi="Arial" w:cs="Arial"/>
          <w:sz w:val="18"/>
          <w:szCs w:val="20"/>
          <w:lang w:val="fr-FR"/>
        </w:rPr>
        <w:t xml:space="preserve"> </w:t>
      </w:r>
      <w:r w:rsidR="00405E38">
        <w:rPr>
          <w:rFonts w:ascii="Arial" w:hAnsi="Arial" w:cs="Arial"/>
          <w:sz w:val="18"/>
          <w:szCs w:val="20"/>
          <w:lang w:val="fr-FR"/>
        </w:rPr>
        <w:t>20 ans en compa</w:t>
      </w:r>
      <w:r w:rsidR="00F02DA1">
        <w:rPr>
          <w:rFonts w:ascii="Arial" w:hAnsi="Arial" w:cs="Arial"/>
          <w:sz w:val="18"/>
          <w:szCs w:val="20"/>
          <w:lang w:val="fr-FR"/>
        </w:rPr>
        <w:t>raison au scénario de référence et une réduction de 95,1%</w:t>
      </w:r>
      <w:r w:rsidR="003151D1">
        <w:rPr>
          <w:rFonts w:ascii="Arial" w:hAnsi="Arial" w:cs="Arial"/>
          <w:sz w:val="18"/>
          <w:szCs w:val="20"/>
          <w:lang w:val="fr-FR"/>
        </w:rPr>
        <w:t xml:space="preserve"> du</w:t>
      </w:r>
      <w:r w:rsidR="00F02DA1">
        <w:rPr>
          <w:rFonts w:ascii="Arial" w:hAnsi="Arial" w:cs="Arial"/>
          <w:sz w:val="18"/>
          <w:szCs w:val="20"/>
          <w:lang w:val="fr-FR"/>
        </w:rPr>
        <w:t xml:space="preserve"> </w:t>
      </w:r>
      <w:r w:rsidR="00F02DA1" w:rsidRPr="00F02DA1">
        <w:rPr>
          <w:rFonts w:ascii="Arial" w:hAnsi="Arial" w:cs="Arial"/>
          <w:sz w:val="18"/>
          <w:szCs w:val="20"/>
          <w:lang w:val="fr-FR"/>
        </w:rPr>
        <w:t>coût</w:t>
      </w:r>
      <w:r w:rsidR="00F02DA1">
        <w:rPr>
          <w:rFonts w:ascii="Arial" w:hAnsi="Arial" w:cs="Arial"/>
          <w:sz w:val="18"/>
          <w:szCs w:val="20"/>
          <w:lang w:val="fr-FR"/>
        </w:rPr>
        <w:t xml:space="preserve"> de carbone évité (soit de 151,21 USD/tCO</w:t>
      </w:r>
      <w:r w:rsidR="00F02DA1" w:rsidRPr="00F02DA1">
        <w:rPr>
          <w:rFonts w:ascii="Arial" w:hAnsi="Arial" w:cs="Arial"/>
          <w:sz w:val="18"/>
          <w:szCs w:val="20"/>
          <w:vertAlign w:val="subscript"/>
          <w:lang w:val="fr-FR"/>
        </w:rPr>
        <w:t>2</w:t>
      </w:r>
      <w:r w:rsidR="00F02DA1">
        <w:rPr>
          <w:rFonts w:ascii="Arial" w:hAnsi="Arial" w:cs="Arial"/>
          <w:sz w:val="18"/>
          <w:szCs w:val="20"/>
          <w:lang w:val="fr-FR"/>
        </w:rPr>
        <w:t xml:space="preserve"> </w:t>
      </w:r>
      <w:r w:rsidR="003151D1">
        <w:rPr>
          <w:rFonts w:ascii="Arial" w:hAnsi="Arial" w:cs="Arial"/>
          <w:sz w:val="18"/>
          <w:szCs w:val="20"/>
          <w:lang w:val="fr-FR"/>
        </w:rPr>
        <w:t>à</w:t>
      </w:r>
      <w:r w:rsidR="00F02DA1">
        <w:rPr>
          <w:rFonts w:ascii="Arial" w:hAnsi="Arial" w:cs="Arial"/>
          <w:sz w:val="18"/>
          <w:szCs w:val="20"/>
          <w:lang w:val="fr-FR"/>
        </w:rPr>
        <w:t xml:space="preserve"> 7,39 USD/tCO</w:t>
      </w:r>
      <w:r w:rsidR="00F02DA1" w:rsidRPr="00F02DA1">
        <w:rPr>
          <w:rFonts w:ascii="Arial" w:hAnsi="Arial" w:cs="Arial"/>
          <w:sz w:val="18"/>
          <w:szCs w:val="20"/>
          <w:vertAlign w:val="subscript"/>
          <w:lang w:val="fr-FR"/>
        </w:rPr>
        <w:t>2</w:t>
      </w:r>
      <w:r w:rsidR="00F02DA1">
        <w:rPr>
          <w:rFonts w:ascii="Arial" w:hAnsi="Arial" w:cs="Arial"/>
          <w:sz w:val="18"/>
          <w:szCs w:val="20"/>
          <w:lang w:val="fr-FR"/>
        </w:rPr>
        <w:t>)</w:t>
      </w:r>
    </w:p>
    <w:p w14:paraId="3BC5C608" w14:textId="77777777" w:rsidR="000B5FA0" w:rsidRPr="00405E38" w:rsidRDefault="000B5FA0" w:rsidP="000B5FA0">
      <w:pPr>
        <w:spacing w:after="0" w:line="276" w:lineRule="auto"/>
        <w:rPr>
          <w:rFonts w:ascii="Arial" w:hAnsi="Arial" w:cs="Arial"/>
          <w:sz w:val="18"/>
          <w:szCs w:val="20"/>
          <w:lang w:val="fr-FR"/>
        </w:rPr>
      </w:pPr>
    </w:p>
    <w:p w14:paraId="2D4AE94A" w14:textId="67975AC9" w:rsidR="000B5FA0" w:rsidRPr="0018276E" w:rsidRDefault="000B5FA0" w:rsidP="000B5FA0">
      <w:pPr>
        <w:spacing w:after="0" w:line="276" w:lineRule="auto"/>
        <w:rPr>
          <w:rFonts w:ascii="Arial" w:hAnsi="Arial" w:cs="Arial"/>
          <w:b/>
          <w:sz w:val="18"/>
          <w:szCs w:val="20"/>
          <w:lang w:val="fr-FR"/>
        </w:rPr>
      </w:pPr>
      <w:r w:rsidRPr="0018276E">
        <w:rPr>
          <w:rFonts w:ascii="Arial" w:hAnsi="Arial" w:cs="Arial"/>
          <w:b/>
          <w:sz w:val="18"/>
          <w:szCs w:val="20"/>
          <w:lang w:val="fr-FR"/>
        </w:rPr>
        <w:t>Table</w:t>
      </w:r>
      <w:r w:rsidR="00952207">
        <w:rPr>
          <w:rFonts w:ascii="Arial" w:hAnsi="Arial" w:cs="Arial"/>
          <w:b/>
          <w:sz w:val="18"/>
          <w:szCs w:val="20"/>
          <w:lang w:val="fr-FR"/>
        </w:rPr>
        <w:t>au</w:t>
      </w:r>
      <w:r w:rsidRPr="0018276E">
        <w:rPr>
          <w:rFonts w:ascii="Arial" w:hAnsi="Arial" w:cs="Arial"/>
          <w:b/>
          <w:sz w:val="18"/>
          <w:szCs w:val="20"/>
          <w:lang w:val="fr-FR"/>
        </w:rPr>
        <w:t xml:space="preserve"> 1: </w:t>
      </w:r>
      <w:r w:rsidR="00330E5B" w:rsidRPr="0018276E">
        <w:rPr>
          <w:rFonts w:ascii="Arial" w:hAnsi="Arial" w:cs="Arial"/>
          <w:b/>
          <w:sz w:val="18"/>
          <w:szCs w:val="20"/>
          <w:lang w:val="fr-FR"/>
        </w:rPr>
        <w:t xml:space="preserve">Instruments publics d’atténuation des risques sélectionnés pour </w:t>
      </w:r>
      <w:r w:rsidR="0018276E" w:rsidRPr="0018276E">
        <w:rPr>
          <w:rFonts w:ascii="Arial" w:hAnsi="Arial" w:cs="Arial"/>
          <w:b/>
          <w:sz w:val="18"/>
          <w:szCs w:val="20"/>
          <w:lang w:val="fr-FR"/>
        </w:rPr>
        <w:t>promouv</w:t>
      </w:r>
      <w:r w:rsidR="0018276E">
        <w:rPr>
          <w:rFonts w:ascii="Arial" w:hAnsi="Arial" w:cs="Arial"/>
          <w:b/>
          <w:sz w:val="18"/>
          <w:szCs w:val="20"/>
          <w:lang w:val="fr-FR"/>
        </w:rPr>
        <w:t xml:space="preserve">oir les investissements dans les mini-réseaux solaires au </w:t>
      </w:r>
      <w:r w:rsidR="00AF117C">
        <w:rPr>
          <w:rFonts w:ascii="Arial" w:hAnsi="Arial" w:cs="Arial"/>
          <w:b/>
          <w:sz w:val="18"/>
          <w:szCs w:val="20"/>
          <w:lang w:val="fr-FR"/>
        </w:rPr>
        <w:t>Mali</w:t>
      </w:r>
    </w:p>
    <w:tbl>
      <w:tblPr>
        <w:tblStyle w:val="LightList-Accent11"/>
        <w:tblW w:w="8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3402"/>
        <w:gridCol w:w="3382"/>
      </w:tblGrid>
      <w:tr w:rsidR="00A625E7" w:rsidRPr="00140C6A" w14:paraId="30F1F76F" w14:textId="77777777" w:rsidTr="00E80705">
        <w:trPr>
          <w:cnfStyle w:val="100000000000" w:firstRow="1" w:lastRow="0" w:firstColumn="0" w:lastColumn="0" w:oddVBand="0" w:evenVBand="0" w:oddHBand="0"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1413" w:type="dxa"/>
            <w:hideMark/>
          </w:tcPr>
          <w:p w14:paraId="7603D07E" w14:textId="77777777" w:rsidR="00A625E7" w:rsidRPr="00F012B9" w:rsidRDefault="00A625E7" w:rsidP="00E80705">
            <w:pPr>
              <w:rPr>
                <w:sz w:val="16"/>
                <w:szCs w:val="16"/>
              </w:rPr>
            </w:pPr>
            <w:proofErr w:type="spellStart"/>
            <w:r>
              <w:rPr>
                <w:sz w:val="16"/>
                <w:szCs w:val="16"/>
              </w:rPr>
              <w:t>Catégorie</w:t>
            </w:r>
            <w:proofErr w:type="spellEnd"/>
            <w:r>
              <w:rPr>
                <w:sz w:val="16"/>
                <w:szCs w:val="16"/>
              </w:rPr>
              <w:t xml:space="preserve"> de </w:t>
            </w:r>
            <w:proofErr w:type="spellStart"/>
            <w:r>
              <w:rPr>
                <w:sz w:val="16"/>
                <w:szCs w:val="16"/>
              </w:rPr>
              <w:t>risque</w:t>
            </w:r>
            <w:proofErr w:type="spellEnd"/>
          </w:p>
        </w:tc>
        <w:tc>
          <w:tcPr>
            <w:tcW w:w="3402" w:type="dxa"/>
            <w:hideMark/>
          </w:tcPr>
          <w:p w14:paraId="0B6261F2" w14:textId="77777777" w:rsidR="00A625E7" w:rsidRPr="00182837" w:rsidRDefault="00A625E7" w:rsidP="00E80705">
            <w:pPr>
              <w:cnfStyle w:val="100000000000" w:firstRow="1" w:lastRow="0" w:firstColumn="0" w:lastColumn="0" w:oddVBand="0" w:evenVBand="0" w:oddHBand="0" w:evenHBand="0" w:firstRowFirstColumn="0" w:firstRowLastColumn="0" w:lastRowFirstColumn="0" w:lastRowLastColumn="0"/>
              <w:rPr>
                <w:sz w:val="16"/>
                <w:szCs w:val="16"/>
                <w:lang w:val="fr-FR"/>
              </w:rPr>
            </w:pPr>
            <w:r w:rsidRPr="00182837">
              <w:rPr>
                <w:sz w:val="16"/>
                <w:szCs w:val="16"/>
                <w:lang w:val="fr-FR"/>
              </w:rPr>
              <w:t>Instrument</w:t>
            </w:r>
            <w:r>
              <w:rPr>
                <w:sz w:val="16"/>
                <w:szCs w:val="16"/>
                <w:lang w:val="fr-FR"/>
              </w:rPr>
              <w:t>s</w:t>
            </w:r>
            <w:r w:rsidRPr="00182837">
              <w:rPr>
                <w:sz w:val="16"/>
                <w:szCs w:val="16"/>
                <w:lang w:val="fr-FR"/>
              </w:rPr>
              <w:t xml:space="preserve"> polit</w:t>
            </w:r>
            <w:r>
              <w:rPr>
                <w:sz w:val="16"/>
                <w:szCs w:val="16"/>
                <w:lang w:val="fr-FR"/>
              </w:rPr>
              <w:t>i</w:t>
            </w:r>
            <w:r w:rsidRPr="00182837">
              <w:rPr>
                <w:sz w:val="16"/>
                <w:szCs w:val="16"/>
                <w:lang w:val="fr-FR"/>
              </w:rPr>
              <w:t>que</w:t>
            </w:r>
            <w:r>
              <w:rPr>
                <w:sz w:val="16"/>
                <w:szCs w:val="16"/>
                <w:lang w:val="fr-FR"/>
              </w:rPr>
              <w:t>s</w:t>
            </w:r>
            <w:r w:rsidRPr="00182837">
              <w:rPr>
                <w:sz w:val="16"/>
                <w:szCs w:val="16"/>
                <w:lang w:val="fr-FR"/>
              </w:rPr>
              <w:t xml:space="preserve"> d’atténuation de</w:t>
            </w:r>
            <w:r>
              <w:rPr>
                <w:sz w:val="16"/>
                <w:szCs w:val="16"/>
                <w:lang w:val="fr-FR"/>
              </w:rPr>
              <w:t>s risques</w:t>
            </w:r>
          </w:p>
        </w:tc>
        <w:tc>
          <w:tcPr>
            <w:tcW w:w="3382" w:type="dxa"/>
          </w:tcPr>
          <w:p w14:paraId="5854313E" w14:textId="77777777" w:rsidR="00A625E7" w:rsidRPr="00182837" w:rsidRDefault="00A625E7" w:rsidP="00E80705">
            <w:pPr>
              <w:cnfStyle w:val="100000000000" w:firstRow="1" w:lastRow="0" w:firstColumn="0" w:lastColumn="0" w:oddVBand="0" w:evenVBand="0" w:oddHBand="0" w:evenHBand="0" w:firstRowFirstColumn="0" w:firstRowLastColumn="0" w:lastRowFirstColumn="0" w:lastRowLastColumn="0"/>
              <w:rPr>
                <w:sz w:val="16"/>
                <w:szCs w:val="16"/>
                <w:lang w:val="fr-FR"/>
              </w:rPr>
            </w:pPr>
            <w:r w:rsidRPr="00182837">
              <w:rPr>
                <w:sz w:val="16"/>
                <w:szCs w:val="16"/>
                <w:lang w:val="fr-FR"/>
              </w:rPr>
              <w:t>Instruments financiers d’atténuation des r</w:t>
            </w:r>
            <w:r>
              <w:rPr>
                <w:sz w:val="16"/>
                <w:szCs w:val="16"/>
                <w:lang w:val="fr-FR"/>
              </w:rPr>
              <w:t>isques</w:t>
            </w:r>
          </w:p>
        </w:tc>
      </w:tr>
      <w:tr w:rsidR="00A625E7" w:rsidRPr="00140C6A" w14:paraId="6D29DF86" w14:textId="77777777" w:rsidTr="00E80705">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413" w:type="dxa"/>
            <w:hideMark/>
          </w:tcPr>
          <w:p w14:paraId="4DAE23FB" w14:textId="77777777" w:rsidR="00A625E7" w:rsidRPr="00182837" w:rsidRDefault="00A625E7" w:rsidP="00E80705">
            <w:pPr>
              <w:rPr>
                <w:sz w:val="16"/>
                <w:szCs w:val="16"/>
                <w:lang w:val="fr-FR"/>
              </w:rPr>
            </w:pPr>
            <w:r w:rsidRPr="00182837">
              <w:rPr>
                <w:sz w:val="16"/>
                <w:szCs w:val="16"/>
                <w:lang w:val="fr-FR"/>
              </w:rPr>
              <w:t xml:space="preserve">Risque du marché de l’énergie </w:t>
            </w:r>
          </w:p>
        </w:tc>
        <w:tc>
          <w:tcPr>
            <w:tcW w:w="3402" w:type="dxa"/>
          </w:tcPr>
          <w:p w14:paraId="175BD45B" w14:textId="070BBF08" w:rsidR="00772F7C" w:rsidRDefault="00772F7C" w:rsidP="00772F7C">
            <w:pPr>
              <w:numPr>
                <w:ilvl w:val="0"/>
                <w:numId w:val="1"/>
              </w:numPr>
              <w:ind w:left="71" w:hanging="141"/>
              <w:cnfStyle w:val="000000100000" w:firstRow="0" w:lastRow="0" w:firstColumn="0" w:lastColumn="0" w:oddVBand="0" w:evenVBand="0" w:oddHBand="1" w:evenHBand="0" w:firstRowFirstColumn="0" w:firstRowLastColumn="0" w:lastRowFirstColumn="0" w:lastRowLastColumn="0"/>
              <w:rPr>
                <w:rFonts w:cstheme="minorHAnsi"/>
                <w:sz w:val="16"/>
                <w:szCs w:val="16"/>
                <w:lang w:val="fr-FR"/>
              </w:rPr>
            </w:pPr>
            <w:r>
              <w:rPr>
                <w:rFonts w:cstheme="minorHAnsi"/>
                <w:sz w:val="16"/>
                <w:szCs w:val="16"/>
                <w:lang w:val="fr-FR"/>
              </w:rPr>
              <w:t>Mettre en place un plan directeur pour l’électrification rurale avec des cibles des énergies renouvelables bien définis et par types de technologies</w:t>
            </w:r>
          </w:p>
          <w:p w14:paraId="2CA7390A" w14:textId="5578D3A2" w:rsidR="00A625E7" w:rsidRPr="00772F7C" w:rsidRDefault="00A625E7" w:rsidP="00772F7C">
            <w:pPr>
              <w:numPr>
                <w:ilvl w:val="0"/>
                <w:numId w:val="1"/>
              </w:numPr>
              <w:ind w:left="71" w:hanging="141"/>
              <w:cnfStyle w:val="000000100000" w:firstRow="0" w:lastRow="0" w:firstColumn="0" w:lastColumn="0" w:oddVBand="0" w:evenVBand="0" w:oddHBand="1" w:evenHBand="0" w:firstRowFirstColumn="0" w:firstRowLastColumn="0" w:lastRowFirstColumn="0" w:lastRowLastColumn="0"/>
              <w:rPr>
                <w:rFonts w:cstheme="minorHAnsi"/>
                <w:sz w:val="16"/>
                <w:szCs w:val="16"/>
                <w:lang w:val="fr-FR"/>
              </w:rPr>
            </w:pPr>
            <w:r>
              <w:rPr>
                <w:rFonts w:cstheme="minorHAnsi"/>
                <w:sz w:val="16"/>
                <w:szCs w:val="16"/>
                <w:lang w:val="fr-FR"/>
              </w:rPr>
              <w:t>E</w:t>
            </w:r>
            <w:r w:rsidRPr="00772F7C">
              <w:rPr>
                <w:rFonts w:cstheme="minorHAnsi"/>
                <w:sz w:val="16"/>
                <w:szCs w:val="16"/>
                <w:lang w:val="fr-FR"/>
              </w:rPr>
              <w:t>laboration de réglementation relative aux mini-réseaux – Etablir une approche réglementaire comportant 2 régimes cohabitant (allégé et complet) pour l’octroi des licences, avec une méthodologie claire pour la détermination des tarifs autorisés dans le régime complet et normes techniques claires et équilibrées</w:t>
            </w:r>
          </w:p>
          <w:p w14:paraId="2643FAD8" w14:textId="06DA693B" w:rsidR="00A625E7" w:rsidRPr="00182837" w:rsidRDefault="00A625E7" w:rsidP="00E80705">
            <w:pPr>
              <w:numPr>
                <w:ilvl w:val="0"/>
                <w:numId w:val="1"/>
              </w:numPr>
              <w:ind w:left="71" w:hanging="141"/>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fr-FR"/>
              </w:rPr>
            </w:pPr>
            <w:r>
              <w:rPr>
                <w:rFonts w:cstheme="minorHAnsi"/>
                <w:sz w:val="16"/>
                <w:szCs w:val="16"/>
                <w:lang w:val="fr-FR"/>
              </w:rPr>
              <w:t>Elaborer, c</w:t>
            </w:r>
            <w:r w:rsidRPr="00663D6F">
              <w:rPr>
                <w:rFonts w:cstheme="minorHAnsi"/>
                <w:sz w:val="16"/>
                <w:szCs w:val="16"/>
                <w:lang w:val="fr-FR"/>
              </w:rPr>
              <w:t>ommuniquer et mettre à jour les objectifs et plans d’électrification rurale</w:t>
            </w:r>
          </w:p>
        </w:tc>
        <w:tc>
          <w:tcPr>
            <w:tcW w:w="3382" w:type="dxa"/>
          </w:tcPr>
          <w:p w14:paraId="18FAEB84" w14:textId="77777777" w:rsidR="00A625E7" w:rsidRPr="005D79F7" w:rsidRDefault="00A625E7" w:rsidP="00E80705">
            <w:pPr>
              <w:numPr>
                <w:ilvl w:val="0"/>
                <w:numId w:val="1"/>
              </w:numPr>
              <w:ind w:left="71" w:hanging="141"/>
              <w:cnfStyle w:val="000000100000" w:firstRow="0" w:lastRow="0" w:firstColumn="0" w:lastColumn="0" w:oddVBand="0" w:evenVBand="0" w:oddHBand="1" w:evenHBand="0" w:firstRowFirstColumn="0" w:firstRowLastColumn="0" w:lastRowFirstColumn="0" w:lastRowLastColumn="0"/>
              <w:rPr>
                <w:rFonts w:cstheme="minorHAnsi"/>
                <w:sz w:val="16"/>
                <w:szCs w:val="16"/>
                <w:lang w:val="fr-FR"/>
              </w:rPr>
            </w:pPr>
            <w:r w:rsidRPr="005D79F7">
              <w:rPr>
                <w:rFonts w:cstheme="minorHAnsi"/>
                <w:sz w:val="16"/>
                <w:szCs w:val="16"/>
                <w:lang w:val="fr-FR"/>
              </w:rPr>
              <w:t>Système de compensation par le biais d’une subvention au kWh en cas de connexion au réseau national</w:t>
            </w:r>
          </w:p>
        </w:tc>
      </w:tr>
      <w:tr w:rsidR="00A625E7" w:rsidRPr="00A931AA" w14:paraId="0A6ACD40" w14:textId="77777777" w:rsidTr="00E80705">
        <w:trPr>
          <w:trHeight w:val="402"/>
        </w:trPr>
        <w:tc>
          <w:tcPr>
            <w:cnfStyle w:val="001000000000" w:firstRow="0" w:lastRow="0" w:firstColumn="1" w:lastColumn="0" w:oddVBand="0" w:evenVBand="0" w:oddHBand="0" w:evenHBand="0" w:firstRowFirstColumn="0" w:firstRowLastColumn="0" w:lastRowFirstColumn="0" w:lastRowLastColumn="0"/>
            <w:tcW w:w="1413" w:type="dxa"/>
            <w:hideMark/>
          </w:tcPr>
          <w:p w14:paraId="7A70F6D6" w14:textId="77777777" w:rsidR="00A625E7" w:rsidRPr="00F012B9" w:rsidRDefault="00A625E7" w:rsidP="00E80705">
            <w:pPr>
              <w:rPr>
                <w:sz w:val="16"/>
                <w:szCs w:val="16"/>
              </w:rPr>
            </w:pPr>
            <w:proofErr w:type="spellStart"/>
            <w:r>
              <w:rPr>
                <w:sz w:val="16"/>
                <w:szCs w:val="16"/>
              </w:rPr>
              <w:t>Risque</w:t>
            </w:r>
            <w:proofErr w:type="spellEnd"/>
            <w:r>
              <w:rPr>
                <w:sz w:val="16"/>
                <w:szCs w:val="16"/>
              </w:rPr>
              <w:t xml:space="preserve"> de </w:t>
            </w:r>
            <w:proofErr w:type="spellStart"/>
            <w:r>
              <w:rPr>
                <w:sz w:val="16"/>
                <w:szCs w:val="16"/>
              </w:rPr>
              <w:t>rejet</w:t>
            </w:r>
            <w:proofErr w:type="spellEnd"/>
            <w:r>
              <w:rPr>
                <w:sz w:val="16"/>
                <w:szCs w:val="16"/>
              </w:rPr>
              <w:t xml:space="preserve"> social</w:t>
            </w:r>
          </w:p>
        </w:tc>
        <w:tc>
          <w:tcPr>
            <w:tcW w:w="3402" w:type="dxa"/>
          </w:tcPr>
          <w:p w14:paraId="5ABA63F4" w14:textId="3FB1C33D" w:rsidR="00A625E7" w:rsidRPr="005D79F7" w:rsidRDefault="00A625E7" w:rsidP="00E80705">
            <w:pPr>
              <w:numPr>
                <w:ilvl w:val="0"/>
                <w:numId w:val="1"/>
              </w:numPr>
              <w:ind w:left="71" w:hanging="141"/>
              <w:cnfStyle w:val="000000000000" w:firstRow="0" w:lastRow="0" w:firstColumn="0" w:lastColumn="0" w:oddVBand="0" w:evenVBand="0" w:oddHBand="0" w:evenHBand="0" w:firstRowFirstColumn="0" w:firstRowLastColumn="0" w:lastRowFirstColumn="0" w:lastRowLastColumn="0"/>
              <w:rPr>
                <w:rFonts w:cstheme="minorHAnsi"/>
                <w:sz w:val="16"/>
                <w:szCs w:val="16"/>
                <w:lang w:val="fr-FR"/>
              </w:rPr>
            </w:pPr>
            <w:r w:rsidRPr="005D79F7">
              <w:rPr>
                <w:rFonts w:cstheme="minorHAnsi"/>
                <w:sz w:val="16"/>
                <w:szCs w:val="16"/>
                <w:lang w:val="fr-FR"/>
              </w:rPr>
              <w:t>Campagnes d’impact communautaire et de sensibilisation de la population</w:t>
            </w:r>
            <w:r w:rsidR="00772F7C">
              <w:rPr>
                <w:rFonts w:cstheme="minorHAnsi"/>
                <w:sz w:val="16"/>
                <w:szCs w:val="16"/>
                <w:lang w:val="fr-FR"/>
              </w:rPr>
              <w:t xml:space="preserve"> sur les bénéfices des mini-réseaux solaires PV</w:t>
            </w:r>
          </w:p>
        </w:tc>
        <w:tc>
          <w:tcPr>
            <w:tcW w:w="3382" w:type="dxa"/>
          </w:tcPr>
          <w:p w14:paraId="3B997D5B" w14:textId="77777777" w:rsidR="00A625E7" w:rsidRPr="005D79F7" w:rsidRDefault="00A625E7" w:rsidP="00E80705">
            <w:pPr>
              <w:numPr>
                <w:ilvl w:val="0"/>
                <w:numId w:val="1"/>
              </w:numPr>
              <w:ind w:left="71" w:hanging="141"/>
              <w:cnfStyle w:val="000000000000" w:firstRow="0" w:lastRow="0" w:firstColumn="0" w:lastColumn="0" w:oddVBand="0" w:evenVBand="0" w:oddHBand="0" w:evenHBand="0" w:firstRowFirstColumn="0" w:firstRowLastColumn="0" w:lastRowFirstColumn="0" w:lastRowLastColumn="0"/>
              <w:rPr>
                <w:rFonts w:cstheme="minorHAnsi"/>
                <w:sz w:val="16"/>
                <w:szCs w:val="16"/>
                <w:lang w:val="fr-FR"/>
              </w:rPr>
            </w:pPr>
            <w:r>
              <w:rPr>
                <w:rFonts w:cstheme="minorHAnsi"/>
                <w:sz w:val="16"/>
                <w:szCs w:val="16"/>
                <w:lang w:val="fr-FR"/>
              </w:rPr>
              <w:t>NA</w:t>
            </w:r>
          </w:p>
        </w:tc>
      </w:tr>
      <w:tr w:rsidR="00A625E7" w:rsidRPr="00082258" w14:paraId="200FB6B8" w14:textId="77777777" w:rsidTr="00E80705">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413" w:type="dxa"/>
          </w:tcPr>
          <w:p w14:paraId="3E50C4C6" w14:textId="77777777" w:rsidR="00A625E7" w:rsidRPr="00F012B9" w:rsidRDefault="00A625E7" w:rsidP="00E80705">
            <w:pPr>
              <w:rPr>
                <w:sz w:val="16"/>
                <w:szCs w:val="16"/>
              </w:rPr>
            </w:pPr>
            <w:proofErr w:type="spellStart"/>
            <w:r>
              <w:rPr>
                <w:sz w:val="16"/>
                <w:szCs w:val="16"/>
              </w:rPr>
              <w:t>Risque</w:t>
            </w:r>
            <w:proofErr w:type="spellEnd"/>
            <w:r>
              <w:rPr>
                <w:sz w:val="16"/>
                <w:szCs w:val="16"/>
              </w:rPr>
              <w:t xml:space="preserve"> </w:t>
            </w:r>
            <w:proofErr w:type="spellStart"/>
            <w:r>
              <w:rPr>
                <w:sz w:val="16"/>
                <w:szCs w:val="16"/>
              </w:rPr>
              <w:t>lié</w:t>
            </w:r>
            <w:proofErr w:type="spellEnd"/>
            <w:r>
              <w:rPr>
                <w:sz w:val="16"/>
                <w:szCs w:val="16"/>
              </w:rPr>
              <w:t xml:space="preserve"> au </w:t>
            </w:r>
            <w:proofErr w:type="spellStart"/>
            <w:r>
              <w:rPr>
                <w:sz w:val="16"/>
                <w:szCs w:val="16"/>
              </w:rPr>
              <w:t>matériel</w:t>
            </w:r>
            <w:proofErr w:type="spellEnd"/>
          </w:p>
        </w:tc>
        <w:tc>
          <w:tcPr>
            <w:tcW w:w="3402" w:type="dxa"/>
          </w:tcPr>
          <w:p w14:paraId="3B99C66F" w14:textId="096A781B" w:rsidR="00A625E7" w:rsidRPr="005D79F7" w:rsidRDefault="00A625E7" w:rsidP="00E80705">
            <w:pPr>
              <w:numPr>
                <w:ilvl w:val="0"/>
                <w:numId w:val="1"/>
              </w:numPr>
              <w:ind w:left="71" w:hanging="141"/>
              <w:cnfStyle w:val="000000100000" w:firstRow="0" w:lastRow="0" w:firstColumn="0" w:lastColumn="0" w:oddVBand="0" w:evenVBand="0" w:oddHBand="1" w:evenHBand="0" w:firstRowFirstColumn="0" w:firstRowLastColumn="0" w:lastRowFirstColumn="0" w:lastRowLastColumn="0"/>
              <w:rPr>
                <w:rFonts w:cstheme="minorHAnsi"/>
                <w:sz w:val="16"/>
                <w:szCs w:val="16"/>
                <w:lang w:val="fr-FR"/>
              </w:rPr>
            </w:pPr>
            <w:r w:rsidRPr="005D79F7">
              <w:rPr>
                <w:rFonts w:cstheme="minorHAnsi"/>
                <w:sz w:val="16"/>
                <w:szCs w:val="16"/>
                <w:lang w:val="fr-FR"/>
              </w:rPr>
              <w:t>Etablir et diffuser une certification et des normes pour le matériel</w:t>
            </w:r>
            <w:r w:rsidR="00772F7C">
              <w:rPr>
                <w:rFonts w:cstheme="minorHAnsi"/>
                <w:sz w:val="16"/>
                <w:szCs w:val="16"/>
                <w:lang w:val="fr-FR"/>
              </w:rPr>
              <w:t xml:space="preserve"> et le renforcement des capacités institutionnelles pour faire la </w:t>
            </w:r>
            <w:r w:rsidR="009D73A4">
              <w:rPr>
                <w:rFonts w:cstheme="minorHAnsi"/>
                <w:sz w:val="16"/>
                <w:szCs w:val="16"/>
                <w:lang w:val="fr-FR"/>
              </w:rPr>
              <w:t xml:space="preserve">mise en vigueur et la </w:t>
            </w:r>
            <w:r w:rsidR="00772F7C">
              <w:rPr>
                <w:rFonts w:cstheme="minorHAnsi"/>
                <w:sz w:val="16"/>
                <w:szCs w:val="16"/>
                <w:lang w:val="fr-FR"/>
              </w:rPr>
              <w:t>surveillance du march</w:t>
            </w:r>
            <w:r w:rsidR="00772F7C" w:rsidRPr="005D79F7">
              <w:rPr>
                <w:rFonts w:cstheme="minorHAnsi"/>
                <w:sz w:val="16"/>
                <w:szCs w:val="16"/>
                <w:lang w:val="fr-FR"/>
              </w:rPr>
              <w:t>é</w:t>
            </w:r>
            <w:r w:rsidR="00772F7C">
              <w:rPr>
                <w:rFonts w:cstheme="minorHAnsi"/>
                <w:sz w:val="16"/>
                <w:szCs w:val="16"/>
                <w:lang w:val="fr-FR"/>
              </w:rPr>
              <w:t xml:space="preserve"> </w:t>
            </w:r>
          </w:p>
          <w:p w14:paraId="155E5663" w14:textId="77777777" w:rsidR="00A625E7" w:rsidRPr="005D79F7" w:rsidRDefault="00A625E7" w:rsidP="00E80705">
            <w:pPr>
              <w:numPr>
                <w:ilvl w:val="0"/>
                <w:numId w:val="1"/>
              </w:numPr>
              <w:ind w:left="71" w:hanging="141"/>
              <w:cnfStyle w:val="000000100000" w:firstRow="0" w:lastRow="0" w:firstColumn="0" w:lastColumn="0" w:oddVBand="0" w:evenVBand="0" w:oddHBand="1" w:evenHBand="0" w:firstRowFirstColumn="0" w:firstRowLastColumn="0" w:lastRowFirstColumn="0" w:lastRowLastColumn="0"/>
              <w:rPr>
                <w:rFonts w:cstheme="minorHAnsi"/>
                <w:sz w:val="16"/>
                <w:szCs w:val="16"/>
                <w:lang w:val="fr-FR"/>
              </w:rPr>
            </w:pPr>
            <w:r w:rsidRPr="005D79F7">
              <w:rPr>
                <w:rFonts w:cstheme="minorHAnsi"/>
                <w:sz w:val="16"/>
                <w:szCs w:val="16"/>
                <w:lang w:val="fr-FR"/>
              </w:rPr>
              <w:t>Rationaliser et éclaircir les procédures douanières et les équipements éligibles à l’exemption de taxes</w:t>
            </w:r>
          </w:p>
        </w:tc>
        <w:tc>
          <w:tcPr>
            <w:tcW w:w="3382" w:type="dxa"/>
          </w:tcPr>
          <w:p w14:paraId="5F24C112" w14:textId="77777777" w:rsidR="00A625E7" w:rsidRPr="005D79F7" w:rsidRDefault="00A625E7" w:rsidP="00E80705">
            <w:pPr>
              <w:numPr>
                <w:ilvl w:val="0"/>
                <w:numId w:val="1"/>
              </w:numPr>
              <w:ind w:left="71" w:hanging="141"/>
              <w:cnfStyle w:val="000000100000" w:firstRow="0" w:lastRow="0" w:firstColumn="0" w:lastColumn="0" w:oddVBand="0" w:evenVBand="0" w:oddHBand="1" w:evenHBand="0" w:firstRowFirstColumn="0" w:firstRowLastColumn="0" w:lastRowFirstColumn="0" w:lastRowLastColumn="0"/>
              <w:rPr>
                <w:rFonts w:cstheme="minorHAnsi"/>
                <w:sz w:val="16"/>
                <w:szCs w:val="16"/>
                <w:lang w:val="fr-FR"/>
              </w:rPr>
            </w:pPr>
            <w:r>
              <w:rPr>
                <w:rFonts w:cstheme="minorHAnsi"/>
                <w:sz w:val="16"/>
                <w:szCs w:val="16"/>
                <w:lang w:val="fr-FR"/>
              </w:rPr>
              <w:t>NA</w:t>
            </w:r>
          </w:p>
        </w:tc>
      </w:tr>
      <w:tr w:rsidR="00A625E7" w:rsidRPr="0001248E" w14:paraId="24478527" w14:textId="77777777" w:rsidTr="00E80705">
        <w:trPr>
          <w:trHeight w:val="443"/>
        </w:trPr>
        <w:tc>
          <w:tcPr>
            <w:cnfStyle w:val="001000000000" w:firstRow="0" w:lastRow="0" w:firstColumn="1" w:lastColumn="0" w:oddVBand="0" w:evenVBand="0" w:oddHBand="0" w:evenHBand="0" w:firstRowFirstColumn="0" w:firstRowLastColumn="0" w:lastRowFirstColumn="0" w:lastRowLastColumn="0"/>
            <w:tcW w:w="1413" w:type="dxa"/>
          </w:tcPr>
          <w:p w14:paraId="15E168E5" w14:textId="77777777" w:rsidR="00A625E7" w:rsidRPr="00F012B9" w:rsidRDefault="00A625E7" w:rsidP="00E80705">
            <w:pPr>
              <w:rPr>
                <w:sz w:val="16"/>
                <w:szCs w:val="16"/>
              </w:rPr>
            </w:pPr>
            <w:proofErr w:type="spellStart"/>
            <w:r>
              <w:rPr>
                <w:sz w:val="16"/>
                <w:szCs w:val="16"/>
              </w:rPr>
              <w:t>Risque</w:t>
            </w:r>
            <w:proofErr w:type="spellEnd"/>
            <w:r>
              <w:rPr>
                <w:sz w:val="16"/>
                <w:szCs w:val="16"/>
              </w:rPr>
              <w:t xml:space="preserve"> </w:t>
            </w:r>
            <w:proofErr w:type="spellStart"/>
            <w:r>
              <w:rPr>
                <w:sz w:val="16"/>
                <w:szCs w:val="16"/>
              </w:rPr>
              <w:t>numérique</w:t>
            </w:r>
            <w:proofErr w:type="spellEnd"/>
          </w:p>
        </w:tc>
        <w:tc>
          <w:tcPr>
            <w:tcW w:w="3402" w:type="dxa"/>
          </w:tcPr>
          <w:p w14:paraId="0381C793" w14:textId="734097D3" w:rsidR="00A625E7" w:rsidRPr="005D79F7" w:rsidRDefault="00A625E7" w:rsidP="00E80705">
            <w:pPr>
              <w:numPr>
                <w:ilvl w:val="0"/>
                <w:numId w:val="1"/>
              </w:numPr>
              <w:ind w:left="71" w:hanging="141"/>
              <w:cnfStyle w:val="000000000000" w:firstRow="0" w:lastRow="0" w:firstColumn="0" w:lastColumn="0" w:oddVBand="0" w:evenVBand="0" w:oddHBand="0" w:evenHBand="0" w:firstRowFirstColumn="0" w:firstRowLastColumn="0" w:lastRowFirstColumn="0" w:lastRowLastColumn="0"/>
              <w:rPr>
                <w:rFonts w:cstheme="minorHAnsi"/>
                <w:sz w:val="16"/>
                <w:szCs w:val="16"/>
                <w:lang w:val="fr-FR"/>
              </w:rPr>
            </w:pPr>
            <w:r w:rsidRPr="005D79F7">
              <w:rPr>
                <w:rFonts w:cstheme="minorHAnsi"/>
                <w:sz w:val="16"/>
                <w:szCs w:val="16"/>
                <w:lang w:val="fr-FR"/>
              </w:rPr>
              <w:t xml:space="preserve">Réglementation des télécommunications visant à atteindre une couverture </w:t>
            </w:r>
            <w:r w:rsidR="009D73A4">
              <w:rPr>
                <w:rFonts w:cstheme="minorHAnsi"/>
                <w:sz w:val="16"/>
                <w:szCs w:val="16"/>
                <w:lang w:val="fr-FR"/>
              </w:rPr>
              <w:t>plus large et de bonne qualité</w:t>
            </w:r>
          </w:p>
          <w:p w14:paraId="24D21697" w14:textId="77777777" w:rsidR="00A625E7" w:rsidRPr="005D79F7" w:rsidRDefault="00A625E7" w:rsidP="00E80705">
            <w:pPr>
              <w:numPr>
                <w:ilvl w:val="0"/>
                <w:numId w:val="1"/>
              </w:numPr>
              <w:ind w:left="71" w:hanging="141"/>
              <w:cnfStyle w:val="000000000000" w:firstRow="0" w:lastRow="0" w:firstColumn="0" w:lastColumn="0" w:oddVBand="0" w:evenVBand="0" w:oddHBand="0" w:evenHBand="0" w:firstRowFirstColumn="0" w:firstRowLastColumn="0" w:lastRowFirstColumn="0" w:lastRowLastColumn="0"/>
              <w:rPr>
                <w:rFonts w:cstheme="minorHAnsi"/>
                <w:sz w:val="16"/>
                <w:szCs w:val="16"/>
                <w:lang w:val="fr-FR"/>
              </w:rPr>
            </w:pPr>
            <w:r w:rsidRPr="005D79F7">
              <w:rPr>
                <w:rFonts w:cstheme="minorHAnsi"/>
                <w:sz w:val="16"/>
                <w:szCs w:val="16"/>
                <w:lang w:val="fr-FR"/>
              </w:rPr>
              <w:t>Appui à la constitution d’association industrielle pour établir des normes et partage des meilleures pratiques</w:t>
            </w:r>
          </w:p>
        </w:tc>
        <w:tc>
          <w:tcPr>
            <w:tcW w:w="3382" w:type="dxa"/>
          </w:tcPr>
          <w:p w14:paraId="2AB95D92" w14:textId="77777777" w:rsidR="00A625E7" w:rsidRPr="005D79F7" w:rsidRDefault="00A625E7" w:rsidP="00E80705">
            <w:pPr>
              <w:numPr>
                <w:ilvl w:val="0"/>
                <w:numId w:val="1"/>
              </w:numPr>
              <w:ind w:left="71" w:hanging="141"/>
              <w:cnfStyle w:val="000000000000" w:firstRow="0" w:lastRow="0" w:firstColumn="0" w:lastColumn="0" w:oddVBand="0" w:evenVBand="0" w:oddHBand="0" w:evenHBand="0" w:firstRowFirstColumn="0" w:firstRowLastColumn="0" w:lastRowFirstColumn="0" w:lastRowLastColumn="0"/>
              <w:rPr>
                <w:rFonts w:cstheme="minorHAnsi"/>
                <w:sz w:val="16"/>
                <w:szCs w:val="16"/>
                <w:lang w:val="fr-FR"/>
              </w:rPr>
            </w:pPr>
            <w:r>
              <w:rPr>
                <w:rFonts w:cstheme="minorHAnsi"/>
                <w:sz w:val="16"/>
                <w:szCs w:val="16"/>
                <w:lang w:val="fr-FR"/>
              </w:rPr>
              <w:t>NA</w:t>
            </w:r>
          </w:p>
        </w:tc>
      </w:tr>
      <w:tr w:rsidR="00A625E7" w:rsidRPr="0028637F" w14:paraId="7A14CDA9" w14:textId="77777777" w:rsidTr="00E80705">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413" w:type="dxa"/>
          </w:tcPr>
          <w:p w14:paraId="66CBFE36" w14:textId="77777777" w:rsidR="00A625E7" w:rsidRPr="00182837" w:rsidRDefault="00A625E7" w:rsidP="00E80705">
            <w:pPr>
              <w:rPr>
                <w:sz w:val="16"/>
                <w:szCs w:val="16"/>
                <w:lang w:val="fr-FR"/>
              </w:rPr>
            </w:pPr>
            <w:r w:rsidRPr="00182837">
              <w:rPr>
                <w:sz w:val="16"/>
                <w:szCs w:val="16"/>
                <w:lang w:val="fr-FR"/>
              </w:rPr>
              <w:t>Risque lié à la m</w:t>
            </w:r>
            <w:r>
              <w:rPr>
                <w:sz w:val="16"/>
                <w:szCs w:val="16"/>
                <w:lang w:val="fr-FR"/>
              </w:rPr>
              <w:t>ain d’œuvre</w:t>
            </w:r>
          </w:p>
        </w:tc>
        <w:tc>
          <w:tcPr>
            <w:tcW w:w="3402" w:type="dxa"/>
          </w:tcPr>
          <w:p w14:paraId="3AE43DAD" w14:textId="6BFC93ED" w:rsidR="00A625E7" w:rsidRPr="005D79F7" w:rsidRDefault="00A625E7" w:rsidP="00E80705">
            <w:pPr>
              <w:numPr>
                <w:ilvl w:val="0"/>
                <w:numId w:val="1"/>
              </w:numPr>
              <w:ind w:left="71" w:hanging="141"/>
              <w:cnfStyle w:val="000000100000" w:firstRow="0" w:lastRow="0" w:firstColumn="0" w:lastColumn="0" w:oddVBand="0" w:evenVBand="0" w:oddHBand="1" w:evenHBand="0" w:firstRowFirstColumn="0" w:firstRowLastColumn="0" w:lastRowFirstColumn="0" w:lastRowLastColumn="0"/>
              <w:rPr>
                <w:rFonts w:cstheme="minorHAnsi"/>
                <w:sz w:val="16"/>
                <w:szCs w:val="16"/>
                <w:lang w:val="fr-FR"/>
              </w:rPr>
            </w:pPr>
            <w:r w:rsidRPr="005D79F7">
              <w:rPr>
                <w:rFonts w:cstheme="minorHAnsi"/>
                <w:sz w:val="16"/>
                <w:szCs w:val="16"/>
                <w:lang w:val="fr-FR"/>
              </w:rPr>
              <w:t>Programmes pour développer un marché du travail compétitif et qualifié</w:t>
            </w:r>
            <w:r w:rsidR="009D73A4">
              <w:rPr>
                <w:rFonts w:cstheme="minorHAnsi"/>
                <w:sz w:val="16"/>
                <w:szCs w:val="16"/>
                <w:lang w:val="fr-FR"/>
              </w:rPr>
              <w:t xml:space="preserve"> dans les mini-réseaux solaires PV surtout les milieux ruraux</w:t>
            </w:r>
          </w:p>
        </w:tc>
        <w:tc>
          <w:tcPr>
            <w:tcW w:w="3382" w:type="dxa"/>
          </w:tcPr>
          <w:p w14:paraId="611EEA71" w14:textId="77777777" w:rsidR="00A625E7" w:rsidRPr="005D79F7" w:rsidRDefault="00A625E7" w:rsidP="00E80705">
            <w:pPr>
              <w:numPr>
                <w:ilvl w:val="0"/>
                <w:numId w:val="1"/>
              </w:numPr>
              <w:ind w:left="71" w:hanging="141"/>
              <w:cnfStyle w:val="000000100000" w:firstRow="0" w:lastRow="0" w:firstColumn="0" w:lastColumn="0" w:oddVBand="0" w:evenVBand="0" w:oddHBand="1" w:evenHBand="0" w:firstRowFirstColumn="0" w:firstRowLastColumn="0" w:lastRowFirstColumn="0" w:lastRowLastColumn="0"/>
              <w:rPr>
                <w:rFonts w:cstheme="minorHAnsi"/>
                <w:sz w:val="16"/>
                <w:szCs w:val="16"/>
                <w:lang w:val="fr-FR"/>
              </w:rPr>
            </w:pPr>
            <w:r>
              <w:rPr>
                <w:rFonts w:cstheme="minorHAnsi"/>
                <w:sz w:val="16"/>
                <w:szCs w:val="16"/>
                <w:lang w:val="fr-FR"/>
              </w:rPr>
              <w:t>NA</w:t>
            </w:r>
          </w:p>
        </w:tc>
      </w:tr>
      <w:tr w:rsidR="00A625E7" w:rsidRPr="00140C6A" w14:paraId="3AF53962" w14:textId="77777777" w:rsidTr="00E80705">
        <w:trPr>
          <w:trHeight w:val="443"/>
        </w:trPr>
        <w:tc>
          <w:tcPr>
            <w:cnfStyle w:val="001000000000" w:firstRow="0" w:lastRow="0" w:firstColumn="1" w:lastColumn="0" w:oddVBand="0" w:evenVBand="0" w:oddHBand="0" w:evenHBand="0" w:firstRowFirstColumn="0" w:firstRowLastColumn="0" w:lastRowFirstColumn="0" w:lastRowLastColumn="0"/>
            <w:tcW w:w="1413" w:type="dxa"/>
            <w:hideMark/>
          </w:tcPr>
          <w:p w14:paraId="0B22B9B8" w14:textId="77777777" w:rsidR="00A625E7" w:rsidRPr="00F012B9" w:rsidRDefault="00A625E7" w:rsidP="00E80705">
            <w:pPr>
              <w:rPr>
                <w:sz w:val="16"/>
                <w:szCs w:val="16"/>
              </w:rPr>
            </w:pPr>
            <w:proofErr w:type="spellStart"/>
            <w:r>
              <w:rPr>
                <w:sz w:val="16"/>
                <w:szCs w:val="16"/>
              </w:rPr>
              <w:t>Risque</w:t>
            </w:r>
            <w:proofErr w:type="spellEnd"/>
            <w:r>
              <w:rPr>
                <w:sz w:val="16"/>
                <w:szCs w:val="16"/>
              </w:rPr>
              <w:t xml:space="preserve"> </w:t>
            </w:r>
            <w:proofErr w:type="spellStart"/>
            <w:r>
              <w:rPr>
                <w:sz w:val="16"/>
                <w:szCs w:val="16"/>
              </w:rPr>
              <w:t>promoteur</w:t>
            </w:r>
            <w:proofErr w:type="spellEnd"/>
          </w:p>
        </w:tc>
        <w:tc>
          <w:tcPr>
            <w:tcW w:w="3402" w:type="dxa"/>
          </w:tcPr>
          <w:p w14:paraId="4E3B7BEB" w14:textId="77777777" w:rsidR="00A625E7" w:rsidRPr="005D79F7" w:rsidRDefault="00A625E7" w:rsidP="00E80705">
            <w:pPr>
              <w:numPr>
                <w:ilvl w:val="0"/>
                <w:numId w:val="1"/>
              </w:numPr>
              <w:ind w:left="71" w:hanging="141"/>
              <w:cnfStyle w:val="000000000000" w:firstRow="0" w:lastRow="0" w:firstColumn="0" w:lastColumn="0" w:oddVBand="0" w:evenVBand="0" w:oddHBand="0" w:evenHBand="0" w:firstRowFirstColumn="0" w:firstRowLastColumn="0" w:lastRowFirstColumn="0" w:lastRowLastColumn="0"/>
              <w:rPr>
                <w:rFonts w:cstheme="minorHAnsi"/>
                <w:sz w:val="16"/>
                <w:szCs w:val="16"/>
                <w:lang w:val="fr-FR"/>
              </w:rPr>
            </w:pPr>
            <w:r w:rsidRPr="005D79F7">
              <w:rPr>
                <w:rFonts w:cstheme="minorHAnsi"/>
                <w:sz w:val="16"/>
                <w:szCs w:val="16"/>
                <w:lang w:val="fr-FR"/>
              </w:rPr>
              <w:t>Appui du gouvernement à l’amélioration des flux d’informations et des effets de réseaux – assistance technique aux développeurs</w:t>
            </w:r>
          </w:p>
        </w:tc>
        <w:tc>
          <w:tcPr>
            <w:tcW w:w="3382" w:type="dxa"/>
          </w:tcPr>
          <w:p w14:paraId="5B0DC96D" w14:textId="77777777" w:rsidR="00A625E7" w:rsidRPr="005D79F7" w:rsidRDefault="00A625E7" w:rsidP="00E80705">
            <w:pPr>
              <w:numPr>
                <w:ilvl w:val="0"/>
                <w:numId w:val="1"/>
              </w:numPr>
              <w:ind w:left="71" w:hanging="141"/>
              <w:cnfStyle w:val="000000000000" w:firstRow="0" w:lastRow="0" w:firstColumn="0" w:lastColumn="0" w:oddVBand="0" w:evenVBand="0" w:oddHBand="0" w:evenHBand="0" w:firstRowFirstColumn="0" w:firstRowLastColumn="0" w:lastRowFirstColumn="0" w:lastRowLastColumn="0"/>
              <w:rPr>
                <w:rFonts w:cstheme="minorHAnsi"/>
                <w:sz w:val="16"/>
                <w:szCs w:val="16"/>
                <w:lang w:val="fr-FR"/>
              </w:rPr>
            </w:pPr>
            <w:r w:rsidRPr="005D79F7">
              <w:rPr>
                <w:rFonts w:cstheme="minorHAnsi"/>
                <w:sz w:val="16"/>
                <w:szCs w:val="16"/>
                <w:lang w:val="fr-FR"/>
              </w:rPr>
              <w:t>Prêts publics directs aux exploitants de mini-réseaux</w:t>
            </w:r>
          </w:p>
        </w:tc>
      </w:tr>
      <w:tr w:rsidR="00A625E7" w:rsidRPr="00140C6A" w14:paraId="65360194" w14:textId="77777777" w:rsidTr="00E80705">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413" w:type="dxa"/>
            <w:hideMark/>
          </w:tcPr>
          <w:p w14:paraId="6CA735D2" w14:textId="77777777" w:rsidR="00A625E7" w:rsidRPr="00182837" w:rsidRDefault="00A625E7" w:rsidP="00E80705">
            <w:pPr>
              <w:rPr>
                <w:sz w:val="16"/>
                <w:szCs w:val="16"/>
                <w:lang w:val="fr-FR"/>
              </w:rPr>
            </w:pPr>
            <w:r w:rsidRPr="00182837">
              <w:rPr>
                <w:sz w:val="16"/>
                <w:szCs w:val="16"/>
                <w:lang w:val="fr-FR"/>
              </w:rPr>
              <w:t>Risque de cr</w:t>
            </w:r>
            <w:r>
              <w:rPr>
                <w:sz w:val="16"/>
                <w:szCs w:val="16"/>
                <w:lang w:val="fr-FR"/>
              </w:rPr>
              <w:t>é</w:t>
            </w:r>
            <w:r w:rsidRPr="00182837">
              <w:rPr>
                <w:sz w:val="16"/>
                <w:szCs w:val="16"/>
                <w:lang w:val="fr-FR"/>
              </w:rPr>
              <w:t>dit de l</w:t>
            </w:r>
            <w:r>
              <w:rPr>
                <w:sz w:val="16"/>
                <w:szCs w:val="16"/>
                <w:lang w:val="fr-FR"/>
              </w:rPr>
              <w:t>’utilisateur final</w:t>
            </w:r>
          </w:p>
        </w:tc>
        <w:tc>
          <w:tcPr>
            <w:tcW w:w="3402" w:type="dxa"/>
          </w:tcPr>
          <w:p w14:paraId="6617945C" w14:textId="29B54D6C" w:rsidR="00A625E7" w:rsidRPr="009D73A4" w:rsidRDefault="00A625E7" w:rsidP="009D73A4">
            <w:pPr>
              <w:numPr>
                <w:ilvl w:val="0"/>
                <w:numId w:val="1"/>
              </w:numPr>
              <w:ind w:left="71" w:hanging="141"/>
              <w:cnfStyle w:val="000000100000" w:firstRow="0" w:lastRow="0" w:firstColumn="0" w:lastColumn="0" w:oddVBand="0" w:evenVBand="0" w:oddHBand="1" w:evenHBand="0" w:firstRowFirstColumn="0" w:firstRowLastColumn="0" w:lastRowFirstColumn="0" w:lastRowLastColumn="0"/>
              <w:rPr>
                <w:rFonts w:cstheme="minorHAnsi"/>
                <w:sz w:val="16"/>
                <w:szCs w:val="16"/>
                <w:lang w:val="fr-FR"/>
              </w:rPr>
            </w:pPr>
            <w:r w:rsidRPr="005D79F7">
              <w:rPr>
                <w:rFonts w:cstheme="minorHAnsi"/>
                <w:sz w:val="16"/>
                <w:szCs w:val="16"/>
                <w:lang w:val="fr-FR"/>
              </w:rPr>
              <w:t>Promouvoir l’utilisation productive de l’électricité (formations, réseau</w:t>
            </w:r>
            <w:r w:rsidR="009D73A4">
              <w:rPr>
                <w:rFonts w:cstheme="minorHAnsi"/>
                <w:sz w:val="16"/>
                <w:szCs w:val="16"/>
                <w:lang w:val="fr-FR"/>
              </w:rPr>
              <w:t>x</w:t>
            </w:r>
            <w:r w:rsidRPr="005D79F7">
              <w:rPr>
                <w:rFonts w:cstheme="minorHAnsi"/>
                <w:sz w:val="16"/>
                <w:szCs w:val="16"/>
                <w:lang w:val="fr-FR"/>
              </w:rPr>
              <w:t xml:space="preserve"> d’incubateurs)</w:t>
            </w:r>
            <w:r w:rsidR="009D73A4">
              <w:rPr>
                <w:rFonts w:cstheme="minorHAnsi"/>
                <w:sz w:val="16"/>
                <w:szCs w:val="16"/>
                <w:lang w:val="fr-FR"/>
              </w:rPr>
              <w:t xml:space="preserve"> pour accroitre le développement socioéconomique local et la capacité de paiement des utilisateurs d’électricité</w:t>
            </w:r>
          </w:p>
        </w:tc>
        <w:tc>
          <w:tcPr>
            <w:tcW w:w="3382" w:type="dxa"/>
          </w:tcPr>
          <w:p w14:paraId="31A36A69" w14:textId="77777777" w:rsidR="00A625E7" w:rsidRPr="005D79F7" w:rsidRDefault="00A625E7" w:rsidP="00E80705">
            <w:pPr>
              <w:numPr>
                <w:ilvl w:val="0"/>
                <w:numId w:val="1"/>
              </w:numPr>
              <w:ind w:left="71" w:hanging="141"/>
              <w:cnfStyle w:val="000000100000" w:firstRow="0" w:lastRow="0" w:firstColumn="0" w:lastColumn="0" w:oddVBand="0" w:evenVBand="0" w:oddHBand="1" w:evenHBand="0" w:firstRowFirstColumn="0" w:firstRowLastColumn="0" w:lastRowFirstColumn="0" w:lastRowLastColumn="0"/>
              <w:rPr>
                <w:rFonts w:cstheme="minorHAnsi"/>
                <w:sz w:val="16"/>
                <w:szCs w:val="16"/>
                <w:lang w:val="fr-FR"/>
              </w:rPr>
            </w:pPr>
            <w:r w:rsidRPr="005D79F7">
              <w:rPr>
                <w:rFonts w:cstheme="minorHAnsi"/>
                <w:sz w:val="16"/>
                <w:szCs w:val="16"/>
                <w:lang w:val="fr-FR"/>
              </w:rPr>
              <w:t>Prêts publics directs aux exploitants de mini-réseaux</w:t>
            </w:r>
          </w:p>
        </w:tc>
      </w:tr>
      <w:tr w:rsidR="00A625E7" w:rsidRPr="00140C6A" w14:paraId="03E51448" w14:textId="77777777" w:rsidTr="00E80705">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14:paraId="63E776E3" w14:textId="77777777" w:rsidR="00A625E7" w:rsidRPr="00F012B9" w:rsidRDefault="00A625E7" w:rsidP="00E80705">
            <w:pPr>
              <w:rPr>
                <w:sz w:val="16"/>
                <w:szCs w:val="16"/>
              </w:rPr>
            </w:pPr>
            <w:proofErr w:type="spellStart"/>
            <w:r>
              <w:rPr>
                <w:sz w:val="16"/>
                <w:szCs w:val="16"/>
              </w:rPr>
              <w:t>Risque</w:t>
            </w:r>
            <w:proofErr w:type="spellEnd"/>
            <w:r>
              <w:rPr>
                <w:sz w:val="16"/>
                <w:szCs w:val="16"/>
              </w:rPr>
              <w:t xml:space="preserve"> de </w:t>
            </w:r>
            <w:proofErr w:type="spellStart"/>
            <w:r>
              <w:rPr>
                <w:sz w:val="16"/>
                <w:szCs w:val="16"/>
              </w:rPr>
              <w:t>financement</w:t>
            </w:r>
            <w:proofErr w:type="spellEnd"/>
          </w:p>
        </w:tc>
        <w:tc>
          <w:tcPr>
            <w:tcW w:w="3402" w:type="dxa"/>
          </w:tcPr>
          <w:p w14:paraId="41C8C06D" w14:textId="77777777" w:rsidR="00A625E7" w:rsidRPr="005D79F7" w:rsidRDefault="00A625E7" w:rsidP="00E80705">
            <w:pPr>
              <w:numPr>
                <w:ilvl w:val="0"/>
                <w:numId w:val="1"/>
              </w:numPr>
              <w:ind w:left="71" w:hanging="141"/>
              <w:cnfStyle w:val="000000000000" w:firstRow="0" w:lastRow="0" w:firstColumn="0" w:lastColumn="0" w:oddVBand="0" w:evenVBand="0" w:oddHBand="0" w:evenHBand="0" w:firstRowFirstColumn="0" w:firstRowLastColumn="0" w:lastRowFirstColumn="0" w:lastRowLastColumn="0"/>
              <w:rPr>
                <w:rFonts w:cstheme="minorHAnsi"/>
                <w:sz w:val="16"/>
                <w:szCs w:val="16"/>
                <w:lang w:val="fr-FR"/>
              </w:rPr>
            </w:pPr>
            <w:r w:rsidRPr="005D79F7">
              <w:rPr>
                <w:rFonts w:cstheme="minorHAnsi"/>
                <w:sz w:val="16"/>
                <w:szCs w:val="16"/>
                <w:lang w:val="fr-FR"/>
              </w:rPr>
              <w:t>Libéraliser le secteur financier national (réformes pour faciliter l’entrée de concurrence, nouveaux types de financements, incitatifs pour les mini-réseaux)</w:t>
            </w:r>
          </w:p>
          <w:p w14:paraId="4D8AE6E5" w14:textId="13B0DDFE" w:rsidR="00A625E7" w:rsidRPr="005D79F7" w:rsidRDefault="00A625E7" w:rsidP="00E26E0D">
            <w:pPr>
              <w:numPr>
                <w:ilvl w:val="0"/>
                <w:numId w:val="1"/>
              </w:numPr>
              <w:ind w:left="71" w:hanging="141"/>
              <w:cnfStyle w:val="000000000000" w:firstRow="0" w:lastRow="0" w:firstColumn="0" w:lastColumn="0" w:oddVBand="0" w:evenVBand="0" w:oddHBand="0" w:evenHBand="0" w:firstRowFirstColumn="0" w:firstRowLastColumn="0" w:lastRowFirstColumn="0" w:lastRowLastColumn="0"/>
              <w:rPr>
                <w:rFonts w:cstheme="minorHAnsi"/>
                <w:sz w:val="16"/>
                <w:szCs w:val="16"/>
                <w:lang w:val="fr-FR"/>
              </w:rPr>
            </w:pPr>
            <w:r w:rsidRPr="005D79F7">
              <w:rPr>
                <w:rFonts w:cstheme="minorHAnsi"/>
                <w:sz w:val="16"/>
                <w:szCs w:val="16"/>
                <w:lang w:val="fr-FR"/>
              </w:rPr>
              <w:t xml:space="preserve">Renforcer les connaissances et les capacités </w:t>
            </w:r>
            <w:r w:rsidR="00E26E0D">
              <w:rPr>
                <w:rFonts w:cstheme="minorHAnsi"/>
                <w:sz w:val="16"/>
                <w:szCs w:val="16"/>
                <w:lang w:val="fr-FR"/>
              </w:rPr>
              <w:t xml:space="preserve">des institutions financières et des investisseurs  à </w:t>
            </w:r>
            <w:r w:rsidRPr="005D79F7">
              <w:rPr>
                <w:rFonts w:cstheme="minorHAnsi"/>
                <w:sz w:val="16"/>
                <w:szCs w:val="16"/>
                <w:lang w:val="fr-FR"/>
              </w:rPr>
              <w:t>éval</w:t>
            </w:r>
            <w:r w:rsidR="00E26E0D">
              <w:rPr>
                <w:rFonts w:cstheme="minorHAnsi"/>
                <w:sz w:val="16"/>
                <w:szCs w:val="16"/>
                <w:lang w:val="fr-FR"/>
              </w:rPr>
              <w:t>uer les projets de mini-réseaux solaires PV</w:t>
            </w:r>
          </w:p>
        </w:tc>
        <w:tc>
          <w:tcPr>
            <w:tcW w:w="3382" w:type="dxa"/>
          </w:tcPr>
          <w:p w14:paraId="64C8BC1A" w14:textId="77777777" w:rsidR="00A625E7" w:rsidRPr="005D79F7" w:rsidRDefault="00A625E7" w:rsidP="00E80705">
            <w:pPr>
              <w:numPr>
                <w:ilvl w:val="0"/>
                <w:numId w:val="1"/>
              </w:numPr>
              <w:ind w:left="71" w:hanging="141"/>
              <w:cnfStyle w:val="000000000000" w:firstRow="0" w:lastRow="0" w:firstColumn="0" w:lastColumn="0" w:oddVBand="0" w:evenVBand="0" w:oddHBand="0" w:evenHBand="0" w:firstRowFirstColumn="0" w:firstRowLastColumn="0" w:lastRowFirstColumn="0" w:lastRowLastColumn="0"/>
              <w:rPr>
                <w:rFonts w:cstheme="minorHAnsi"/>
                <w:sz w:val="16"/>
                <w:szCs w:val="16"/>
                <w:lang w:val="fr-FR"/>
              </w:rPr>
            </w:pPr>
            <w:r w:rsidRPr="005D79F7">
              <w:rPr>
                <w:rFonts w:cstheme="minorHAnsi"/>
                <w:sz w:val="16"/>
                <w:szCs w:val="16"/>
                <w:lang w:val="fr-FR"/>
              </w:rPr>
              <w:t>Prêts publics directs aux exploitants de mini-réseaux</w:t>
            </w:r>
          </w:p>
        </w:tc>
      </w:tr>
    </w:tbl>
    <w:p w14:paraId="370C4BFD" w14:textId="77777777" w:rsidR="00315B8F" w:rsidRDefault="00315B8F" w:rsidP="000B5FA0">
      <w:pPr>
        <w:spacing w:after="0" w:line="276" w:lineRule="auto"/>
        <w:rPr>
          <w:rFonts w:ascii="Arial" w:hAnsi="Arial" w:cs="Arial"/>
          <w:sz w:val="12"/>
          <w:szCs w:val="20"/>
          <w:lang w:val="fr-FR"/>
        </w:rPr>
      </w:pPr>
    </w:p>
    <w:p w14:paraId="5C347EB8" w14:textId="1E3329C6" w:rsidR="000B5FA0" w:rsidRPr="00952207" w:rsidRDefault="000B5FA0" w:rsidP="000B5FA0">
      <w:pPr>
        <w:spacing w:after="0" w:line="276" w:lineRule="auto"/>
        <w:rPr>
          <w:rFonts w:ascii="Arial" w:hAnsi="Arial" w:cs="Arial"/>
          <w:sz w:val="18"/>
          <w:szCs w:val="20"/>
          <w:lang w:val="fr-FR"/>
        </w:rPr>
      </w:pPr>
      <w:r w:rsidRPr="00952207">
        <w:rPr>
          <w:rFonts w:ascii="Arial" w:hAnsi="Arial" w:cs="Arial"/>
          <w:sz w:val="12"/>
          <w:szCs w:val="20"/>
          <w:lang w:val="fr-FR"/>
        </w:rPr>
        <w:t xml:space="preserve">Source: </w:t>
      </w:r>
      <w:r w:rsidR="00E26E0D">
        <w:rPr>
          <w:rFonts w:ascii="Arial" w:hAnsi="Arial" w:cs="Arial"/>
          <w:sz w:val="12"/>
          <w:szCs w:val="20"/>
          <w:lang w:val="fr-FR"/>
        </w:rPr>
        <w:t>Mo</w:t>
      </w:r>
      <w:r w:rsidR="00842FED" w:rsidRPr="00952207">
        <w:rPr>
          <w:rFonts w:ascii="Arial" w:hAnsi="Arial" w:cs="Arial"/>
          <w:sz w:val="12"/>
          <w:szCs w:val="20"/>
          <w:lang w:val="fr-FR"/>
        </w:rPr>
        <w:t>délisation</w:t>
      </w:r>
      <w:r w:rsidRPr="00952207">
        <w:rPr>
          <w:rFonts w:ascii="Arial" w:hAnsi="Arial" w:cs="Arial"/>
          <w:sz w:val="12"/>
          <w:szCs w:val="20"/>
          <w:lang w:val="fr-FR"/>
        </w:rPr>
        <w:t>. NA indi</w:t>
      </w:r>
      <w:r w:rsidR="00952207" w:rsidRPr="00952207">
        <w:rPr>
          <w:rFonts w:ascii="Arial" w:hAnsi="Arial" w:cs="Arial"/>
          <w:sz w:val="12"/>
          <w:szCs w:val="20"/>
          <w:lang w:val="fr-FR"/>
        </w:rPr>
        <w:t>que</w:t>
      </w:r>
      <w:r w:rsidRPr="00952207">
        <w:rPr>
          <w:rFonts w:ascii="Arial" w:hAnsi="Arial" w:cs="Arial"/>
          <w:sz w:val="12"/>
          <w:szCs w:val="20"/>
          <w:lang w:val="fr-FR"/>
        </w:rPr>
        <w:t xml:space="preserve"> “No</w:t>
      </w:r>
      <w:r w:rsidR="00952207" w:rsidRPr="00952207">
        <w:rPr>
          <w:rFonts w:ascii="Arial" w:hAnsi="Arial" w:cs="Arial"/>
          <w:sz w:val="12"/>
          <w:szCs w:val="20"/>
          <w:lang w:val="fr-FR"/>
        </w:rPr>
        <w:t>n</w:t>
      </w:r>
      <w:r w:rsidRPr="00952207">
        <w:rPr>
          <w:rFonts w:ascii="Arial" w:hAnsi="Arial" w:cs="Arial"/>
          <w:sz w:val="12"/>
          <w:szCs w:val="20"/>
          <w:lang w:val="fr-FR"/>
        </w:rPr>
        <w:t xml:space="preserve"> Applicable”</w:t>
      </w:r>
    </w:p>
    <w:p w14:paraId="64EE36E0" w14:textId="77777777" w:rsidR="000B5FA0" w:rsidRPr="00952207" w:rsidRDefault="000B5FA0" w:rsidP="000B5FA0">
      <w:pPr>
        <w:spacing w:after="0" w:line="276" w:lineRule="auto"/>
        <w:rPr>
          <w:rFonts w:ascii="Arial" w:hAnsi="Arial" w:cs="Arial"/>
          <w:sz w:val="18"/>
          <w:szCs w:val="20"/>
          <w:lang w:val="fr-FR"/>
        </w:rPr>
      </w:pPr>
    </w:p>
    <w:p w14:paraId="21BC2E02" w14:textId="77777777" w:rsidR="000B5FA0" w:rsidRPr="00CA4F38" w:rsidRDefault="000B5FA0" w:rsidP="000B5FA0">
      <w:pPr>
        <w:spacing w:before="120" w:after="0" w:line="240" w:lineRule="auto"/>
        <w:rPr>
          <w:color w:val="0070C0"/>
          <w:sz w:val="28"/>
          <w:lang w:val="fr-FR"/>
        </w:rPr>
      </w:pPr>
      <w:r w:rsidRPr="00CA4F38">
        <w:rPr>
          <w:color w:val="0070C0"/>
          <w:sz w:val="28"/>
          <w:lang w:val="fr-FR"/>
        </w:rPr>
        <w:t xml:space="preserve">Conclusion </w:t>
      </w:r>
    </w:p>
    <w:p w14:paraId="4B3DB527" w14:textId="77777777" w:rsidR="000B5FA0" w:rsidRPr="00CA4F38" w:rsidRDefault="000B5FA0" w:rsidP="000B5FA0">
      <w:pPr>
        <w:spacing w:after="0"/>
        <w:rPr>
          <w:rFonts w:ascii="Arial" w:hAnsi="Arial" w:cs="Arial"/>
          <w:sz w:val="20"/>
          <w:szCs w:val="20"/>
          <w:lang w:val="fr-FR"/>
        </w:rPr>
      </w:pPr>
    </w:p>
    <w:p w14:paraId="255509DC" w14:textId="51CBA024" w:rsidR="00E26E0D" w:rsidRDefault="00B867F0" w:rsidP="000B5FA0">
      <w:pPr>
        <w:spacing w:after="0"/>
        <w:jc w:val="both"/>
        <w:rPr>
          <w:rFonts w:ascii="Arial" w:hAnsi="Arial" w:cs="Arial"/>
          <w:sz w:val="18"/>
          <w:szCs w:val="20"/>
          <w:lang w:val="fr-FR"/>
        </w:rPr>
      </w:pPr>
      <w:r w:rsidRPr="0010748B">
        <w:rPr>
          <w:rFonts w:ascii="Arial" w:hAnsi="Arial" w:cs="Arial"/>
          <w:sz w:val="18"/>
          <w:szCs w:val="20"/>
          <w:lang w:val="fr-FR"/>
        </w:rPr>
        <w:lastRenderedPageBreak/>
        <w:t>L’environnement d’investissements dans les mini</w:t>
      </w:r>
      <w:r w:rsidR="0010748B" w:rsidRPr="0010748B">
        <w:rPr>
          <w:rFonts w:ascii="Arial" w:hAnsi="Arial" w:cs="Arial"/>
          <w:sz w:val="18"/>
          <w:szCs w:val="20"/>
          <w:lang w:val="fr-FR"/>
        </w:rPr>
        <w:t>-réseaux solaires PV</w:t>
      </w:r>
      <w:r w:rsidR="00E26E0D">
        <w:rPr>
          <w:rFonts w:ascii="Arial" w:hAnsi="Arial" w:cs="Arial"/>
          <w:sz w:val="18"/>
          <w:szCs w:val="20"/>
          <w:lang w:val="fr-FR"/>
        </w:rPr>
        <w:t>-</w:t>
      </w:r>
      <w:r w:rsidR="0010748B" w:rsidRPr="0010748B">
        <w:rPr>
          <w:rFonts w:ascii="Arial" w:hAnsi="Arial" w:cs="Arial"/>
          <w:sz w:val="18"/>
          <w:szCs w:val="20"/>
          <w:lang w:val="fr-FR"/>
        </w:rPr>
        <w:t xml:space="preserve">batteries au </w:t>
      </w:r>
      <w:r w:rsidR="00AF117C">
        <w:rPr>
          <w:rFonts w:ascii="Arial" w:hAnsi="Arial" w:cs="Arial"/>
          <w:sz w:val="18"/>
          <w:szCs w:val="20"/>
          <w:lang w:val="fr-FR"/>
        </w:rPr>
        <w:t>Mali</w:t>
      </w:r>
      <w:r w:rsidR="0010748B" w:rsidRPr="0010748B">
        <w:rPr>
          <w:rFonts w:ascii="Arial" w:hAnsi="Arial" w:cs="Arial"/>
          <w:sz w:val="18"/>
          <w:szCs w:val="20"/>
          <w:lang w:val="fr-FR"/>
        </w:rPr>
        <w:t xml:space="preserve"> présente actuellement un certain nombre de risques qui </w:t>
      </w:r>
      <w:r w:rsidR="008B7841">
        <w:rPr>
          <w:rFonts w:ascii="Arial" w:hAnsi="Arial" w:cs="Arial"/>
          <w:sz w:val="18"/>
          <w:szCs w:val="20"/>
          <w:lang w:val="fr-FR"/>
        </w:rPr>
        <w:t>provoquent des coûts élevés de financement.</w:t>
      </w:r>
      <w:r w:rsidR="00E26E0D">
        <w:rPr>
          <w:rFonts w:ascii="Arial" w:hAnsi="Arial" w:cs="Arial"/>
          <w:sz w:val="18"/>
          <w:szCs w:val="20"/>
          <w:lang w:val="fr-FR"/>
        </w:rPr>
        <w:t xml:space="preserve"> Un effet cascade y découle et se manifeste dans un tarif plus élevé de l’électricité produite par les mini-réseaux solaires PV.</w:t>
      </w:r>
      <w:r w:rsidR="008B7841">
        <w:rPr>
          <w:rFonts w:ascii="Arial" w:hAnsi="Arial" w:cs="Arial"/>
          <w:sz w:val="18"/>
          <w:szCs w:val="20"/>
          <w:lang w:val="fr-FR"/>
        </w:rPr>
        <w:t xml:space="preserve"> </w:t>
      </w:r>
      <w:r w:rsidR="00E26E0D">
        <w:rPr>
          <w:rFonts w:ascii="Arial" w:hAnsi="Arial" w:cs="Arial"/>
          <w:sz w:val="18"/>
          <w:szCs w:val="20"/>
          <w:lang w:val="fr-FR"/>
        </w:rPr>
        <w:t>De ce fait les mini-réseaux solaires PV ne sont pas concurrentiels en comparaison avec une production thermique de l’électricité et cela malgré le fait que le Mali a une abondance de ressources solaire.</w:t>
      </w:r>
    </w:p>
    <w:p w14:paraId="153B5427" w14:textId="77777777" w:rsidR="00E26E0D" w:rsidRDefault="00E26E0D" w:rsidP="000B5FA0">
      <w:pPr>
        <w:spacing w:after="0"/>
        <w:jc w:val="both"/>
        <w:rPr>
          <w:rFonts w:ascii="Arial" w:hAnsi="Arial" w:cs="Arial"/>
          <w:sz w:val="18"/>
          <w:szCs w:val="20"/>
          <w:lang w:val="fr-FR"/>
        </w:rPr>
      </w:pPr>
    </w:p>
    <w:p w14:paraId="195B7C60" w14:textId="77607AE4" w:rsidR="000B5FA0" w:rsidRPr="007602F4" w:rsidRDefault="008B7841" w:rsidP="000B5FA0">
      <w:pPr>
        <w:spacing w:after="0"/>
        <w:jc w:val="both"/>
        <w:rPr>
          <w:rFonts w:ascii="Arial" w:hAnsi="Arial" w:cs="Arial"/>
          <w:sz w:val="20"/>
          <w:szCs w:val="20"/>
          <w:lang w:val="fr-FR"/>
        </w:rPr>
      </w:pPr>
      <w:r w:rsidRPr="00C1218B">
        <w:rPr>
          <w:rFonts w:ascii="Arial" w:hAnsi="Arial" w:cs="Arial"/>
          <w:sz w:val="18"/>
          <w:szCs w:val="20"/>
          <w:lang w:val="fr-FR"/>
        </w:rPr>
        <w:t>La métho</w:t>
      </w:r>
      <w:r w:rsidR="00C1218B" w:rsidRPr="00C1218B">
        <w:rPr>
          <w:rFonts w:ascii="Arial" w:hAnsi="Arial" w:cs="Arial"/>
          <w:sz w:val="18"/>
          <w:szCs w:val="20"/>
          <w:lang w:val="fr-FR"/>
        </w:rPr>
        <w:t xml:space="preserve">dologie de la présente étude identifie de </w:t>
      </w:r>
      <w:r w:rsidR="00C1218B">
        <w:rPr>
          <w:rFonts w:ascii="Arial" w:hAnsi="Arial" w:cs="Arial"/>
          <w:sz w:val="18"/>
          <w:szCs w:val="20"/>
          <w:lang w:val="fr-FR"/>
        </w:rPr>
        <w:t>manièr</w:t>
      </w:r>
      <w:r w:rsidR="00C1218B" w:rsidRPr="00C1218B">
        <w:rPr>
          <w:rFonts w:ascii="Arial" w:hAnsi="Arial" w:cs="Arial"/>
          <w:sz w:val="18"/>
          <w:szCs w:val="20"/>
          <w:lang w:val="fr-FR"/>
        </w:rPr>
        <w:t>e systémat</w:t>
      </w:r>
      <w:r w:rsidR="00C1218B">
        <w:rPr>
          <w:rFonts w:ascii="Arial" w:hAnsi="Arial" w:cs="Arial"/>
          <w:sz w:val="18"/>
          <w:szCs w:val="20"/>
          <w:lang w:val="fr-FR"/>
        </w:rPr>
        <w:t>ique les instruments d’action</w:t>
      </w:r>
      <w:r w:rsidR="00E26E0D">
        <w:rPr>
          <w:rFonts w:ascii="Arial" w:hAnsi="Arial" w:cs="Arial"/>
          <w:sz w:val="18"/>
          <w:szCs w:val="20"/>
          <w:lang w:val="fr-FR"/>
        </w:rPr>
        <w:t>s</w:t>
      </w:r>
      <w:r w:rsidR="00C1218B">
        <w:rPr>
          <w:rFonts w:ascii="Arial" w:hAnsi="Arial" w:cs="Arial"/>
          <w:sz w:val="18"/>
          <w:szCs w:val="20"/>
          <w:lang w:val="fr-FR"/>
        </w:rPr>
        <w:t xml:space="preserve"> publique</w:t>
      </w:r>
      <w:r w:rsidR="00E26E0D">
        <w:rPr>
          <w:rFonts w:ascii="Arial" w:hAnsi="Arial" w:cs="Arial"/>
          <w:sz w:val="18"/>
          <w:szCs w:val="20"/>
          <w:lang w:val="fr-FR"/>
        </w:rPr>
        <w:t>s</w:t>
      </w:r>
      <w:r w:rsidR="00C1218B">
        <w:rPr>
          <w:rFonts w:ascii="Arial" w:hAnsi="Arial" w:cs="Arial"/>
          <w:sz w:val="18"/>
          <w:szCs w:val="20"/>
          <w:lang w:val="fr-FR"/>
        </w:rPr>
        <w:t xml:space="preserve"> d’atténuation des risques qui ciblent ces risques</w:t>
      </w:r>
      <w:r w:rsidR="007602F4">
        <w:rPr>
          <w:rFonts w:ascii="Arial" w:hAnsi="Arial" w:cs="Arial"/>
          <w:sz w:val="18"/>
          <w:szCs w:val="20"/>
          <w:lang w:val="fr-FR"/>
        </w:rPr>
        <w:t xml:space="preserve"> et en conséquence permettent de diminuer les coûts de </w:t>
      </w:r>
      <w:r w:rsidR="00E26E0D">
        <w:rPr>
          <w:rFonts w:ascii="Arial" w:hAnsi="Arial" w:cs="Arial"/>
          <w:sz w:val="18"/>
          <w:szCs w:val="20"/>
          <w:lang w:val="fr-FR"/>
        </w:rPr>
        <w:t>financement, diminuant ainsi le coût moyen</w:t>
      </w:r>
      <w:r w:rsidR="007602F4">
        <w:rPr>
          <w:rFonts w:ascii="Arial" w:hAnsi="Arial" w:cs="Arial"/>
          <w:sz w:val="18"/>
          <w:szCs w:val="20"/>
          <w:lang w:val="fr-FR"/>
        </w:rPr>
        <w:t xml:space="preserve"> de production d</w:t>
      </w:r>
      <w:r w:rsidR="00E26E0D">
        <w:rPr>
          <w:rFonts w:ascii="Arial" w:hAnsi="Arial" w:cs="Arial"/>
          <w:sz w:val="18"/>
          <w:szCs w:val="20"/>
          <w:lang w:val="fr-FR"/>
        </w:rPr>
        <w:t>e l</w:t>
      </w:r>
      <w:r w:rsidR="007602F4">
        <w:rPr>
          <w:rFonts w:ascii="Arial" w:hAnsi="Arial" w:cs="Arial"/>
          <w:sz w:val="18"/>
          <w:szCs w:val="20"/>
          <w:lang w:val="fr-FR"/>
        </w:rPr>
        <w:t>’électricité</w:t>
      </w:r>
      <w:r w:rsidR="00E26E0D">
        <w:rPr>
          <w:rFonts w:ascii="Arial" w:hAnsi="Arial" w:cs="Arial"/>
          <w:sz w:val="18"/>
          <w:szCs w:val="20"/>
          <w:lang w:val="fr-FR"/>
        </w:rPr>
        <w:t xml:space="preserve"> à partir des mini-réseaux solaires PV</w:t>
      </w:r>
      <w:r w:rsidR="000B5FA0" w:rsidRPr="007602F4">
        <w:rPr>
          <w:rFonts w:ascii="Arial" w:hAnsi="Arial" w:cs="Arial"/>
          <w:sz w:val="20"/>
          <w:szCs w:val="20"/>
          <w:lang w:val="fr-FR"/>
        </w:rPr>
        <w:t xml:space="preserve">. </w:t>
      </w:r>
    </w:p>
    <w:p w14:paraId="65BF353B" w14:textId="77777777" w:rsidR="000B5FA0" w:rsidRPr="007602F4" w:rsidRDefault="000B5FA0" w:rsidP="000B5FA0">
      <w:pPr>
        <w:spacing w:after="0"/>
        <w:jc w:val="both"/>
        <w:rPr>
          <w:rFonts w:ascii="Arial" w:hAnsi="Arial" w:cs="Arial"/>
          <w:sz w:val="20"/>
          <w:szCs w:val="20"/>
          <w:lang w:val="fr-FR"/>
        </w:rPr>
      </w:pPr>
    </w:p>
    <w:p w14:paraId="736A07C6" w14:textId="0AD6BE65" w:rsidR="000B5FA0" w:rsidRPr="004D1347" w:rsidRDefault="074D571A" w:rsidP="000B5FA0">
      <w:pPr>
        <w:spacing w:after="0"/>
        <w:jc w:val="both"/>
        <w:rPr>
          <w:rFonts w:ascii="Arial" w:hAnsi="Arial" w:cs="Arial"/>
          <w:sz w:val="18"/>
          <w:szCs w:val="18"/>
          <w:lang w:val="fr-FR"/>
        </w:rPr>
      </w:pPr>
      <w:r w:rsidRPr="074D571A">
        <w:rPr>
          <w:rFonts w:ascii="Arial" w:hAnsi="Arial" w:cs="Arial"/>
          <w:sz w:val="18"/>
          <w:szCs w:val="18"/>
          <w:lang w:val="fr-FR"/>
        </w:rPr>
        <w:t xml:space="preserve">La modélisation réalisée montre que l’investissement dans des actions publiques d’atténuation des risques crée des économies importantes et favorise la réalisation des objectifs du </w:t>
      </w:r>
      <w:r w:rsidR="00AF117C">
        <w:rPr>
          <w:rFonts w:ascii="Arial" w:hAnsi="Arial" w:cs="Arial"/>
          <w:sz w:val="18"/>
          <w:szCs w:val="18"/>
          <w:lang w:val="fr-FR"/>
        </w:rPr>
        <w:t>Mali</w:t>
      </w:r>
      <w:r w:rsidRPr="074D571A">
        <w:rPr>
          <w:rFonts w:ascii="Arial" w:hAnsi="Arial" w:cs="Arial"/>
          <w:sz w:val="18"/>
          <w:szCs w:val="18"/>
          <w:lang w:val="fr-FR"/>
        </w:rPr>
        <w:t xml:space="preserve"> en termes d’électrification rurale par le biais de mini-réseaux solaires à l’horizon 2030.</w:t>
      </w:r>
      <w:r w:rsidR="00E26E0D">
        <w:rPr>
          <w:rFonts w:ascii="Arial" w:hAnsi="Arial" w:cs="Arial"/>
          <w:sz w:val="18"/>
          <w:szCs w:val="18"/>
          <w:lang w:val="fr-FR"/>
        </w:rPr>
        <w:t xml:space="preserve"> </w:t>
      </w:r>
      <w:r w:rsidR="00357250">
        <w:rPr>
          <w:rFonts w:ascii="Arial" w:hAnsi="Arial" w:cs="Arial"/>
          <w:sz w:val="18"/>
          <w:szCs w:val="18"/>
          <w:lang w:val="fr-FR"/>
        </w:rPr>
        <w:t>Cette approche d’</w:t>
      </w:r>
      <w:r w:rsidR="00122166">
        <w:rPr>
          <w:rFonts w:ascii="Arial" w:hAnsi="Arial" w:cs="Arial"/>
          <w:sz w:val="18"/>
          <w:szCs w:val="18"/>
          <w:lang w:val="fr-FR"/>
        </w:rPr>
        <w:t>atténuation</w:t>
      </w:r>
      <w:r w:rsidR="00357250">
        <w:rPr>
          <w:rFonts w:ascii="Arial" w:hAnsi="Arial" w:cs="Arial"/>
          <w:sz w:val="18"/>
          <w:szCs w:val="18"/>
          <w:lang w:val="fr-FR"/>
        </w:rPr>
        <w:t xml:space="preserve"> des risque</w:t>
      </w:r>
      <w:r w:rsidR="00122166">
        <w:rPr>
          <w:rFonts w:ascii="Arial" w:hAnsi="Arial" w:cs="Arial"/>
          <w:sz w:val="18"/>
          <w:szCs w:val="18"/>
          <w:lang w:val="fr-FR"/>
        </w:rPr>
        <w:t>s</w:t>
      </w:r>
      <w:r w:rsidR="00357250">
        <w:rPr>
          <w:rFonts w:ascii="Arial" w:hAnsi="Arial" w:cs="Arial"/>
          <w:sz w:val="18"/>
          <w:szCs w:val="18"/>
          <w:lang w:val="fr-FR"/>
        </w:rPr>
        <w:t xml:space="preserve"> à l’investissement dans les mini-réseaux solaires-PV va aussi aider le pays </w:t>
      </w:r>
      <w:proofErr w:type="gramStart"/>
      <w:r w:rsidR="00357250">
        <w:rPr>
          <w:rFonts w:ascii="Arial" w:hAnsi="Arial" w:cs="Arial"/>
          <w:sz w:val="18"/>
          <w:szCs w:val="18"/>
          <w:lang w:val="fr-FR"/>
        </w:rPr>
        <w:t>a</w:t>
      </w:r>
      <w:proofErr w:type="gramEnd"/>
      <w:r w:rsidR="00357250">
        <w:rPr>
          <w:rFonts w:ascii="Arial" w:hAnsi="Arial" w:cs="Arial"/>
          <w:sz w:val="18"/>
          <w:szCs w:val="18"/>
          <w:lang w:val="fr-FR"/>
        </w:rPr>
        <w:t xml:space="preserve"> atteindre ses objectifs de </w:t>
      </w:r>
      <w:r w:rsidR="00122166">
        <w:rPr>
          <w:rFonts w:ascii="Arial" w:hAnsi="Arial" w:cs="Arial"/>
          <w:sz w:val="18"/>
          <w:szCs w:val="18"/>
          <w:lang w:val="fr-FR"/>
        </w:rPr>
        <w:t>décarbonations</w:t>
      </w:r>
      <w:r w:rsidR="00357250">
        <w:rPr>
          <w:rFonts w:ascii="Arial" w:hAnsi="Arial" w:cs="Arial"/>
          <w:sz w:val="18"/>
          <w:szCs w:val="18"/>
          <w:lang w:val="fr-FR"/>
        </w:rPr>
        <w:t xml:space="preserve"> préconiser dans sa Contribution déterminée au niveau national.</w:t>
      </w:r>
      <w:r w:rsidRPr="074D571A">
        <w:rPr>
          <w:rFonts w:ascii="Arial" w:hAnsi="Arial" w:cs="Arial"/>
          <w:sz w:val="18"/>
          <w:szCs w:val="18"/>
          <w:lang w:val="fr-FR"/>
        </w:rPr>
        <w:t xml:space="preserve"> La modélisation montre clairement que l’investissement dans des actions publiques d’atténuation des risques devrait dans tous les cas être plus rentable pour le </w:t>
      </w:r>
      <w:r w:rsidR="00AF117C">
        <w:rPr>
          <w:rFonts w:ascii="Arial" w:hAnsi="Arial" w:cs="Arial"/>
          <w:sz w:val="18"/>
          <w:szCs w:val="18"/>
          <w:lang w:val="fr-FR"/>
        </w:rPr>
        <w:t>Mali</w:t>
      </w:r>
      <w:r w:rsidRPr="074D571A">
        <w:rPr>
          <w:rFonts w:ascii="Arial" w:hAnsi="Arial" w:cs="Arial"/>
          <w:sz w:val="18"/>
          <w:szCs w:val="18"/>
          <w:lang w:val="fr-FR"/>
        </w:rPr>
        <w:t xml:space="preserve"> que l’alternative de subventionner de façon plus élevée les investissements ou les tarifs de vente de l’électricité. Par conséquent, l’implémentation de ces mesures d’action</w:t>
      </w:r>
      <w:r w:rsidR="00122166">
        <w:rPr>
          <w:rFonts w:ascii="Arial" w:hAnsi="Arial" w:cs="Arial"/>
          <w:sz w:val="18"/>
          <w:szCs w:val="18"/>
          <w:lang w:val="fr-FR"/>
        </w:rPr>
        <w:t>s</w:t>
      </w:r>
      <w:r w:rsidRPr="074D571A">
        <w:rPr>
          <w:rFonts w:ascii="Arial" w:hAnsi="Arial" w:cs="Arial"/>
          <w:sz w:val="18"/>
          <w:szCs w:val="18"/>
          <w:lang w:val="fr-FR"/>
        </w:rPr>
        <w:t xml:space="preserve"> publique</w:t>
      </w:r>
      <w:r w:rsidR="00122166">
        <w:rPr>
          <w:rFonts w:ascii="Arial" w:hAnsi="Arial" w:cs="Arial"/>
          <w:sz w:val="18"/>
          <w:szCs w:val="18"/>
          <w:lang w:val="fr-FR"/>
        </w:rPr>
        <w:t>s</w:t>
      </w:r>
      <w:r w:rsidRPr="074D571A">
        <w:rPr>
          <w:rFonts w:ascii="Arial" w:hAnsi="Arial" w:cs="Arial"/>
          <w:sz w:val="18"/>
          <w:szCs w:val="18"/>
          <w:lang w:val="fr-FR"/>
        </w:rPr>
        <w:t xml:space="preserve"> d’atténuation des risques est une opportunité pour les décideurs politiques du </w:t>
      </w:r>
      <w:r w:rsidR="00AF117C">
        <w:rPr>
          <w:rFonts w:ascii="Arial" w:hAnsi="Arial" w:cs="Arial"/>
          <w:sz w:val="18"/>
          <w:szCs w:val="18"/>
          <w:lang w:val="fr-FR"/>
        </w:rPr>
        <w:t>Mali</w:t>
      </w:r>
      <w:r w:rsidR="00122166">
        <w:rPr>
          <w:rFonts w:ascii="Arial" w:hAnsi="Arial" w:cs="Arial"/>
          <w:sz w:val="18"/>
          <w:szCs w:val="18"/>
          <w:lang w:val="fr-FR"/>
        </w:rPr>
        <w:t xml:space="preserve"> à revoir la structuration du financement public pour promouvoir les énergies renouvelables en collaboration avec le secteur privé</w:t>
      </w:r>
      <w:r w:rsidRPr="074D571A">
        <w:rPr>
          <w:rFonts w:ascii="Arial" w:hAnsi="Arial" w:cs="Arial"/>
          <w:sz w:val="18"/>
          <w:szCs w:val="18"/>
          <w:lang w:val="fr-FR"/>
        </w:rPr>
        <w:t xml:space="preserve">. </w:t>
      </w:r>
      <w:r w:rsidR="00122166">
        <w:rPr>
          <w:rFonts w:ascii="Arial" w:hAnsi="Arial" w:cs="Arial"/>
          <w:sz w:val="18"/>
          <w:szCs w:val="18"/>
          <w:lang w:val="fr-FR"/>
        </w:rPr>
        <w:t xml:space="preserve">Promouvoir le </w:t>
      </w:r>
      <w:r w:rsidR="00AE011C">
        <w:rPr>
          <w:rFonts w:ascii="Arial" w:hAnsi="Arial" w:cs="Arial"/>
          <w:sz w:val="18"/>
          <w:szCs w:val="18"/>
          <w:lang w:val="fr-FR"/>
        </w:rPr>
        <w:t>solaire</w:t>
      </w:r>
      <w:r w:rsidR="00122166">
        <w:rPr>
          <w:rFonts w:ascii="Arial" w:hAnsi="Arial" w:cs="Arial"/>
          <w:sz w:val="18"/>
          <w:szCs w:val="18"/>
          <w:lang w:val="fr-FR"/>
        </w:rPr>
        <w:t xml:space="preserve"> PV par biais des actions publiques d’</w:t>
      </w:r>
      <w:r w:rsidR="00AE011C">
        <w:rPr>
          <w:rFonts w:ascii="Arial" w:hAnsi="Arial" w:cs="Arial"/>
          <w:sz w:val="18"/>
          <w:szCs w:val="18"/>
          <w:lang w:val="fr-FR"/>
        </w:rPr>
        <w:t>atténuation</w:t>
      </w:r>
      <w:r w:rsidR="00122166">
        <w:rPr>
          <w:rFonts w:ascii="Arial" w:hAnsi="Arial" w:cs="Arial"/>
          <w:sz w:val="18"/>
          <w:szCs w:val="18"/>
          <w:lang w:val="fr-FR"/>
        </w:rPr>
        <w:t xml:space="preserve"> des risque</w:t>
      </w:r>
      <w:r w:rsidR="00AE011C">
        <w:rPr>
          <w:rFonts w:ascii="Arial" w:hAnsi="Arial" w:cs="Arial"/>
          <w:sz w:val="18"/>
          <w:szCs w:val="18"/>
          <w:lang w:val="fr-FR"/>
        </w:rPr>
        <w:t>s</w:t>
      </w:r>
      <w:r w:rsidR="00122166">
        <w:rPr>
          <w:rFonts w:ascii="Arial" w:hAnsi="Arial" w:cs="Arial"/>
          <w:sz w:val="18"/>
          <w:szCs w:val="18"/>
          <w:lang w:val="fr-FR"/>
        </w:rPr>
        <w:t xml:space="preserve"> </w:t>
      </w:r>
      <w:r w:rsidR="00AE011C">
        <w:rPr>
          <w:rFonts w:ascii="Arial" w:hAnsi="Arial" w:cs="Arial"/>
          <w:sz w:val="18"/>
          <w:szCs w:val="18"/>
          <w:lang w:val="fr-FR"/>
        </w:rPr>
        <w:t>permettra</w:t>
      </w:r>
      <w:r w:rsidR="00122166">
        <w:rPr>
          <w:rFonts w:ascii="Arial" w:hAnsi="Arial" w:cs="Arial"/>
          <w:sz w:val="18"/>
          <w:szCs w:val="18"/>
          <w:lang w:val="fr-FR"/>
        </w:rPr>
        <w:t xml:space="preserve"> le Mali </w:t>
      </w:r>
      <w:r w:rsidR="00AE011C">
        <w:rPr>
          <w:rFonts w:ascii="Arial" w:hAnsi="Arial" w:cs="Arial"/>
          <w:sz w:val="18"/>
          <w:szCs w:val="18"/>
          <w:lang w:val="fr-FR"/>
        </w:rPr>
        <w:t>à</w:t>
      </w:r>
      <w:r w:rsidR="00122166">
        <w:rPr>
          <w:rFonts w:ascii="Arial" w:hAnsi="Arial" w:cs="Arial"/>
          <w:sz w:val="18"/>
          <w:szCs w:val="18"/>
          <w:lang w:val="fr-FR"/>
        </w:rPr>
        <w:t xml:space="preserve"> donner </w:t>
      </w:r>
      <w:r w:rsidR="00AE011C">
        <w:rPr>
          <w:rFonts w:ascii="Arial" w:hAnsi="Arial" w:cs="Arial"/>
          <w:sz w:val="18"/>
          <w:szCs w:val="18"/>
          <w:lang w:val="fr-FR"/>
        </w:rPr>
        <w:t>accès</w:t>
      </w:r>
      <w:r w:rsidR="00122166">
        <w:rPr>
          <w:rFonts w:ascii="Arial" w:hAnsi="Arial" w:cs="Arial"/>
          <w:sz w:val="18"/>
          <w:szCs w:val="18"/>
          <w:lang w:val="fr-FR"/>
        </w:rPr>
        <w:t xml:space="preserve"> </w:t>
      </w:r>
      <w:r w:rsidR="0067768C">
        <w:rPr>
          <w:rFonts w:ascii="Arial" w:hAnsi="Arial" w:cs="Arial"/>
          <w:sz w:val="18"/>
          <w:szCs w:val="18"/>
          <w:lang w:val="fr-FR"/>
        </w:rPr>
        <w:t>à</w:t>
      </w:r>
      <w:r w:rsidR="00AE011C">
        <w:rPr>
          <w:rFonts w:ascii="Arial" w:hAnsi="Arial" w:cs="Arial"/>
          <w:sz w:val="18"/>
          <w:szCs w:val="18"/>
          <w:lang w:val="fr-FR"/>
        </w:rPr>
        <w:t xml:space="preserve"> une </w:t>
      </w:r>
      <w:r w:rsidRPr="074D571A">
        <w:rPr>
          <w:rFonts w:ascii="Arial" w:hAnsi="Arial" w:cs="Arial"/>
          <w:sz w:val="18"/>
          <w:szCs w:val="18"/>
          <w:lang w:val="fr-FR"/>
        </w:rPr>
        <w:t>électrification</w:t>
      </w:r>
      <w:r w:rsidR="0067768C">
        <w:rPr>
          <w:rFonts w:ascii="Arial" w:hAnsi="Arial" w:cs="Arial"/>
          <w:sz w:val="18"/>
          <w:szCs w:val="18"/>
          <w:lang w:val="fr-FR"/>
        </w:rPr>
        <w:t xml:space="preserve"> rurale</w:t>
      </w:r>
      <w:r w:rsidR="00AE011C">
        <w:rPr>
          <w:rFonts w:ascii="Arial" w:hAnsi="Arial" w:cs="Arial"/>
          <w:sz w:val="18"/>
          <w:szCs w:val="18"/>
          <w:lang w:val="fr-FR"/>
        </w:rPr>
        <w:t xml:space="preserve"> fiable</w:t>
      </w:r>
      <w:r w:rsidRPr="074D571A">
        <w:rPr>
          <w:rFonts w:ascii="Arial" w:hAnsi="Arial" w:cs="Arial"/>
          <w:sz w:val="18"/>
          <w:szCs w:val="18"/>
          <w:lang w:val="fr-FR"/>
        </w:rPr>
        <w:t xml:space="preserve"> </w:t>
      </w:r>
      <w:r w:rsidR="00AE011C">
        <w:rPr>
          <w:rFonts w:ascii="Arial" w:hAnsi="Arial" w:cs="Arial"/>
          <w:sz w:val="18"/>
          <w:szCs w:val="18"/>
          <w:lang w:val="fr-FR"/>
        </w:rPr>
        <w:t>et propre tout en économisant les fonds publics.</w:t>
      </w:r>
    </w:p>
    <w:p w14:paraId="45B933FC" w14:textId="77777777" w:rsidR="000B5FA0" w:rsidRPr="004D1347" w:rsidRDefault="000B5FA0" w:rsidP="000B5FA0">
      <w:pPr>
        <w:spacing w:after="0"/>
        <w:rPr>
          <w:rFonts w:ascii="Arial" w:hAnsi="Arial" w:cs="Arial"/>
          <w:sz w:val="20"/>
          <w:szCs w:val="20"/>
          <w:lang w:val="fr-FR"/>
        </w:rPr>
      </w:pPr>
    </w:p>
    <w:p w14:paraId="6D0C2A87" w14:textId="77777777" w:rsidR="000B5FA0" w:rsidRPr="004D1347" w:rsidRDefault="000B5FA0" w:rsidP="000B5FA0">
      <w:pPr>
        <w:spacing w:after="0"/>
        <w:rPr>
          <w:rFonts w:ascii="Arial" w:hAnsi="Arial" w:cs="Arial"/>
          <w:sz w:val="20"/>
          <w:szCs w:val="20"/>
          <w:lang w:val="fr-FR"/>
        </w:rPr>
      </w:pPr>
    </w:p>
    <w:p w14:paraId="37E5ED90" w14:textId="77777777" w:rsidR="00B975B7" w:rsidRPr="004D1347" w:rsidRDefault="00B975B7">
      <w:pPr>
        <w:rPr>
          <w:lang w:val="fr-FR"/>
        </w:rPr>
      </w:pPr>
    </w:p>
    <w:sectPr w:rsidR="00B975B7" w:rsidRPr="004D1347" w:rsidSect="00B8205B">
      <w:headerReference w:type="default" r:id="rId15"/>
      <w:footerReference w:type="default" r:id="rId16"/>
      <w:headerReference w:type="first" r:id="rId17"/>
      <w:pgSz w:w="12240" w:h="15840"/>
      <w:pgMar w:top="1440" w:right="1152" w:bottom="245" w:left="288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39046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DCE06" w16cex:dateUtc="2022-06-22T1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39046E" w16cid:durableId="265DCE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F8A62" w14:textId="77777777" w:rsidR="00757026" w:rsidRDefault="00757026" w:rsidP="000B5FA0">
      <w:pPr>
        <w:spacing w:after="0" w:line="240" w:lineRule="auto"/>
      </w:pPr>
      <w:r>
        <w:separator/>
      </w:r>
    </w:p>
  </w:endnote>
  <w:endnote w:type="continuationSeparator" w:id="0">
    <w:p w14:paraId="2B57BEBF" w14:textId="77777777" w:rsidR="00757026" w:rsidRDefault="00757026" w:rsidP="000B5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CADCC" w14:textId="77777777" w:rsidR="00BD2F40" w:rsidRPr="00263F77" w:rsidRDefault="008833FC" w:rsidP="00BD2F40">
    <w:pPr>
      <w:spacing w:after="0" w:line="240" w:lineRule="auto"/>
      <w:rPr>
        <w:sz w:val="16"/>
      </w:rPr>
    </w:pPr>
  </w:p>
  <w:tbl>
    <w:tblPr>
      <w:tblStyle w:val="TableGrid"/>
      <w:tblW w:w="0" w:type="auto"/>
      <w:tblInd w:w="-2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7"/>
      <w:gridCol w:w="8296"/>
    </w:tblGrid>
    <w:tr w:rsidR="00920F2F" w14:paraId="1C159B47" w14:textId="77777777" w:rsidTr="00BD2F40">
      <w:tc>
        <w:tcPr>
          <w:tcW w:w="2167" w:type="dxa"/>
          <w:tcBorders>
            <w:right w:val="single" w:sz="4" w:space="0" w:color="auto"/>
          </w:tcBorders>
        </w:tcPr>
        <w:p w14:paraId="779432D0" w14:textId="77777777" w:rsidR="00920F2F" w:rsidRPr="00920F2F" w:rsidRDefault="008833FC" w:rsidP="009D6804">
          <w:pPr>
            <w:pStyle w:val="Footer"/>
            <w:jc w:val="right"/>
            <w:rPr>
              <w:sz w:val="20"/>
              <w:szCs w:val="20"/>
            </w:rPr>
          </w:pPr>
        </w:p>
      </w:tc>
      <w:tc>
        <w:tcPr>
          <w:tcW w:w="8296" w:type="dxa"/>
          <w:tcBorders>
            <w:left w:val="single" w:sz="4" w:space="0" w:color="auto"/>
          </w:tcBorders>
        </w:tcPr>
        <w:sdt>
          <w:sdtPr>
            <w:rPr>
              <w:sz w:val="20"/>
              <w:szCs w:val="20"/>
            </w:rPr>
            <w:id w:val="-1258520935"/>
            <w:docPartObj>
              <w:docPartGallery w:val="Page Numbers (Bottom of Page)"/>
              <w:docPartUnique/>
            </w:docPartObj>
          </w:sdtPr>
          <w:sdtEndPr>
            <w:rPr>
              <w:rFonts w:ascii="Arial" w:hAnsi="Arial" w:cs="Arial"/>
              <w:noProof/>
            </w:rPr>
          </w:sdtEndPr>
          <w:sdtContent>
            <w:p w14:paraId="0B6E4F40" w14:textId="4CDA2086" w:rsidR="00920F2F" w:rsidRPr="00B8205B" w:rsidRDefault="008F54D7" w:rsidP="00920F2F">
              <w:pPr>
                <w:pStyle w:val="Footer"/>
                <w:rPr>
                  <w:rFonts w:ascii="Arial" w:hAnsi="Arial" w:cs="Arial"/>
                  <w:noProof/>
                  <w:sz w:val="18"/>
                  <w:szCs w:val="20"/>
                </w:rPr>
              </w:pPr>
              <w:r w:rsidRPr="00B8205B">
                <w:rPr>
                  <w:rFonts w:ascii="Arial" w:hAnsi="Arial" w:cs="Arial"/>
                  <w:sz w:val="18"/>
                  <w:szCs w:val="20"/>
                </w:rPr>
                <w:fldChar w:fldCharType="begin"/>
              </w:r>
              <w:r w:rsidRPr="00B8205B">
                <w:rPr>
                  <w:rFonts w:ascii="Arial" w:hAnsi="Arial" w:cs="Arial"/>
                  <w:sz w:val="18"/>
                  <w:szCs w:val="20"/>
                </w:rPr>
                <w:instrText xml:space="preserve"> PAGE   \* MERGEFORMAT </w:instrText>
              </w:r>
              <w:r w:rsidRPr="00B8205B">
                <w:rPr>
                  <w:rFonts w:ascii="Arial" w:hAnsi="Arial" w:cs="Arial"/>
                  <w:sz w:val="18"/>
                  <w:szCs w:val="20"/>
                </w:rPr>
                <w:fldChar w:fldCharType="separate"/>
              </w:r>
              <w:r w:rsidR="00140C6A">
                <w:rPr>
                  <w:rFonts w:ascii="Arial" w:hAnsi="Arial" w:cs="Arial"/>
                  <w:noProof/>
                  <w:sz w:val="18"/>
                  <w:szCs w:val="20"/>
                </w:rPr>
                <w:t>2</w:t>
              </w:r>
              <w:r w:rsidRPr="00B8205B">
                <w:rPr>
                  <w:rFonts w:ascii="Arial" w:hAnsi="Arial" w:cs="Arial"/>
                  <w:noProof/>
                  <w:sz w:val="18"/>
                  <w:szCs w:val="20"/>
                </w:rPr>
                <w:fldChar w:fldCharType="end"/>
              </w:r>
            </w:p>
            <w:p w14:paraId="21E2FD21" w14:textId="77777777" w:rsidR="00920F2F" w:rsidRPr="00920F2F" w:rsidRDefault="008833FC" w:rsidP="00920F2F">
              <w:pPr>
                <w:pStyle w:val="Footer"/>
                <w:rPr>
                  <w:rFonts w:ascii="Arial" w:hAnsi="Arial" w:cs="Arial"/>
                  <w:sz w:val="20"/>
                  <w:szCs w:val="20"/>
                </w:rPr>
              </w:pPr>
            </w:p>
          </w:sdtContent>
        </w:sdt>
      </w:tc>
    </w:tr>
  </w:tbl>
  <w:p w14:paraId="03F2C6CB" w14:textId="77777777" w:rsidR="009D6804" w:rsidRPr="00BD2F40" w:rsidRDefault="008833FC" w:rsidP="00BD2F40">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41780" w14:textId="77777777" w:rsidR="00757026" w:rsidRDefault="00757026" w:rsidP="000B5FA0">
      <w:pPr>
        <w:spacing w:after="0" w:line="240" w:lineRule="auto"/>
      </w:pPr>
      <w:r>
        <w:separator/>
      </w:r>
    </w:p>
  </w:footnote>
  <w:footnote w:type="continuationSeparator" w:id="0">
    <w:p w14:paraId="5F740E65" w14:textId="77777777" w:rsidR="00757026" w:rsidRDefault="00757026" w:rsidP="000B5FA0">
      <w:pPr>
        <w:spacing w:after="0" w:line="240" w:lineRule="auto"/>
      </w:pPr>
      <w:r>
        <w:continuationSeparator/>
      </w:r>
    </w:p>
  </w:footnote>
  <w:footnote w:id="1">
    <w:p w14:paraId="305E4DDA" w14:textId="632B0E15" w:rsidR="000B5FA0" w:rsidRPr="00C45F93" w:rsidRDefault="000B5FA0" w:rsidP="000B5FA0">
      <w:pPr>
        <w:pStyle w:val="FootnoteText"/>
        <w:rPr>
          <w:rFonts w:ascii="Arial" w:hAnsi="Arial" w:cs="Arial"/>
          <w:sz w:val="14"/>
          <w:lang w:val="fr-FR"/>
        </w:rPr>
      </w:pPr>
      <w:r w:rsidRPr="00875E59">
        <w:rPr>
          <w:rStyle w:val="FootnoteReference"/>
          <w:rFonts w:ascii="Arial" w:hAnsi="Arial" w:cs="Arial"/>
          <w:sz w:val="16"/>
        </w:rPr>
        <w:footnoteRef/>
      </w:r>
      <w:r w:rsidRPr="00C45F93">
        <w:rPr>
          <w:rFonts w:ascii="Arial" w:hAnsi="Arial" w:cs="Arial"/>
          <w:sz w:val="16"/>
          <w:lang w:val="fr-FR"/>
        </w:rPr>
        <w:t xml:space="preserve"> </w:t>
      </w:r>
      <w:r w:rsidR="00C45F93" w:rsidRPr="00C82BB4">
        <w:rPr>
          <w:rFonts w:ascii="Arial" w:hAnsi="Arial" w:cs="Arial"/>
          <w:sz w:val="14"/>
          <w:lang w:val="fr-FR"/>
        </w:rPr>
        <w:t xml:space="preserve">Ce document “Points-clés pour les décideurs” résume </w:t>
      </w:r>
      <w:r w:rsidR="00C45F93">
        <w:rPr>
          <w:rFonts w:ascii="Arial" w:hAnsi="Arial" w:cs="Arial"/>
          <w:sz w:val="14"/>
          <w:lang w:val="fr-FR"/>
        </w:rPr>
        <w:t xml:space="preserve">succinctement </w:t>
      </w:r>
      <w:r w:rsidR="00C45F93" w:rsidRPr="00C82BB4">
        <w:rPr>
          <w:rFonts w:ascii="Arial" w:hAnsi="Arial" w:cs="Arial"/>
          <w:sz w:val="14"/>
          <w:lang w:val="fr-FR"/>
        </w:rPr>
        <w:t xml:space="preserve">les résultats </w:t>
      </w:r>
      <w:r w:rsidR="00C45F93">
        <w:rPr>
          <w:rFonts w:ascii="Arial" w:hAnsi="Arial" w:cs="Arial"/>
          <w:sz w:val="14"/>
          <w:lang w:val="fr-FR"/>
        </w:rPr>
        <w:t>obtenus par l’étude DREI sur les mini-réseaux solai</w:t>
      </w:r>
      <w:r w:rsidR="00FF7527">
        <w:rPr>
          <w:rFonts w:ascii="Arial" w:hAnsi="Arial" w:cs="Arial"/>
          <w:sz w:val="14"/>
          <w:lang w:val="fr-FR"/>
        </w:rPr>
        <w:t>res PV/batteries au Mali</w:t>
      </w:r>
      <w:r w:rsidR="00C45F93">
        <w:rPr>
          <w:rFonts w:ascii="Arial" w:hAnsi="Arial" w:cs="Arial"/>
          <w:sz w:val="14"/>
          <w:lang w:val="fr-FR"/>
        </w:rPr>
        <w:t xml:space="preserve">. </w:t>
      </w:r>
      <w:r w:rsidR="00C45F93" w:rsidRPr="00336036">
        <w:rPr>
          <w:rFonts w:ascii="Arial" w:hAnsi="Arial" w:cs="Arial"/>
          <w:sz w:val="14"/>
          <w:lang w:val="fr-FR"/>
        </w:rPr>
        <w:t>A ce titre, les références ne sont pas incluses mais sont présentées dans les document</w:t>
      </w:r>
      <w:r w:rsidR="00C45F93">
        <w:rPr>
          <w:rFonts w:ascii="Arial" w:hAnsi="Arial" w:cs="Arial"/>
          <w:sz w:val="14"/>
          <w:lang w:val="fr-FR"/>
        </w:rPr>
        <w:t>s plus détaillés « Résultats complets » et « Méthodologie et hypothèses »</w:t>
      </w:r>
    </w:p>
  </w:footnote>
  <w:footnote w:id="2">
    <w:p w14:paraId="43A9E573" w14:textId="3664DA0E" w:rsidR="000B5FA0" w:rsidRPr="002911F2" w:rsidRDefault="000B5FA0" w:rsidP="000B5FA0">
      <w:pPr>
        <w:pStyle w:val="FootnoteText"/>
        <w:rPr>
          <w:sz w:val="14"/>
          <w:szCs w:val="14"/>
          <w:lang w:val="fr-FR"/>
        </w:rPr>
      </w:pPr>
      <w:r w:rsidRPr="007F6581">
        <w:rPr>
          <w:rStyle w:val="FootnoteReference"/>
          <w:sz w:val="14"/>
          <w:szCs w:val="14"/>
          <w:lang w:val="en-GB"/>
        </w:rPr>
        <w:footnoteRef/>
      </w:r>
      <w:r w:rsidR="00842FED" w:rsidRPr="006C7558">
        <w:rPr>
          <w:rFonts w:ascii="Arial" w:hAnsi="Arial" w:cs="Arial"/>
          <w:sz w:val="14"/>
          <w:szCs w:val="14"/>
          <w:lang w:val="fr-FR"/>
        </w:rPr>
        <w:t xml:space="preserve">Les économies estimées reflètent </w:t>
      </w:r>
      <w:r w:rsidR="00AC58EA" w:rsidRPr="006C7558">
        <w:rPr>
          <w:rFonts w:ascii="Arial" w:hAnsi="Arial" w:cs="Arial"/>
          <w:sz w:val="14"/>
          <w:szCs w:val="14"/>
          <w:lang w:val="fr-FR"/>
        </w:rPr>
        <w:t>les bénéfices directs</w:t>
      </w:r>
      <w:r w:rsidR="00222EF0" w:rsidRPr="006C7558">
        <w:rPr>
          <w:rFonts w:ascii="Arial" w:hAnsi="Arial" w:cs="Arial"/>
          <w:sz w:val="14"/>
          <w:szCs w:val="14"/>
          <w:lang w:val="fr-FR"/>
        </w:rPr>
        <w:t xml:space="preserve"> </w:t>
      </w:r>
      <w:r w:rsidR="001D102A" w:rsidRPr="006C7558">
        <w:rPr>
          <w:rFonts w:ascii="Arial" w:hAnsi="Arial" w:cs="Arial"/>
          <w:sz w:val="14"/>
          <w:szCs w:val="14"/>
          <w:lang w:val="fr-FR"/>
        </w:rPr>
        <w:t>dus</w:t>
      </w:r>
      <w:r w:rsidR="00222EF0" w:rsidRPr="006C7558">
        <w:rPr>
          <w:rFonts w:ascii="Arial" w:hAnsi="Arial" w:cs="Arial"/>
          <w:sz w:val="14"/>
          <w:szCs w:val="14"/>
          <w:lang w:val="fr-FR"/>
        </w:rPr>
        <w:t xml:space="preserve"> aux actions publiques d’atténuation des risques</w:t>
      </w:r>
      <w:r w:rsidR="00452E5E" w:rsidRPr="006C7558">
        <w:rPr>
          <w:rFonts w:ascii="Arial" w:hAnsi="Arial" w:cs="Arial"/>
          <w:sz w:val="14"/>
          <w:szCs w:val="14"/>
          <w:lang w:val="fr-FR"/>
        </w:rPr>
        <w:t>, soit la différence globale</w:t>
      </w:r>
      <w:r w:rsidR="006C7558" w:rsidRPr="006C7558">
        <w:rPr>
          <w:rFonts w:ascii="Arial" w:hAnsi="Arial" w:cs="Arial"/>
          <w:sz w:val="14"/>
          <w:szCs w:val="14"/>
          <w:lang w:val="fr-FR"/>
        </w:rPr>
        <w:t xml:space="preserve"> en termes de coûts moyens de production d’électricité plus faibles en raison</w:t>
      </w:r>
      <w:r w:rsidR="006C7558">
        <w:rPr>
          <w:rFonts w:ascii="Arial" w:hAnsi="Arial" w:cs="Arial"/>
          <w:sz w:val="14"/>
          <w:szCs w:val="14"/>
          <w:lang w:val="fr-FR"/>
        </w:rPr>
        <w:t xml:space="preserve"> de</w:t>
      </w:r>
      <w:r w:rsidR="009640FC">
        <w:rPr>
          <w:rFonts w:ascii="Arial" w:hAnsi="Arial" w:cs="Arial"/>
          <w:sz w:val="14"/>
          <w:szCs w:val="14"/>
          <w:lang w:val="fr-FR"/>
        </w:rPr>
        <w:t xml:space="preserve"> l’atténuation des risques au long du cycle de vie des installations.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2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7"/>
      <w:gridCol w:w="8296"/>
    </w:tblGrid>
    <w:tr w:rsidR="00B8205B" w:rsidRPr="00140C6A" w14:paraId="779FE869" w14:textId="77777777" w:rsidTr="00D22B86">
      <w:tc>
        <w:tcPr>
          <w:tcW w:w="2167" w:type="dxa"/>
          <w:tcBorders>
            <w:right w:val="single" w:sz="4" w:space="0" w:color="auto"/>
          </w:tcBorders>
        </w:tcPr>
        <w:p w14:paraId="67D43754" w14:textId="77777777" w:rsidR="00B8205B" w:rsidRPr="00920F2F" w:rsidRDefault="008833FC" w:rsidP="00B8205B">
          <w:pPr>
            <w:pStyle w:val="Footer"/>
            <w:jc w:val="right"/>
            <w:rPr>
              <w:sz w:val="20"/>
              <w:szCs w:val="20"/>
            </w:rPr>
          </w:pPr>
        </w:p>
      </w:tc>
      <w:tc>
        <w:tcPr>
          <w:tcW w:w="8296" w:type="dxa"/>
          <w:tcBorders>
            <w:left w:val="single" w:sz="4" w:space="0" w:color="auto"/>
          </w:tcBorders>
        </w:tcPr>
        <w:sdt>
          <w:sdtPr>
            <w:rPr>
              <w:sz w:val="14"/>
              <w:szCs w:val="20"/>
            </w:rPr>
            <w:id w:val="1622494436"/>
            <w:docPartObj>
              <w:docPartGallery w:val="Page Numbers (Bottom of Page)"/>
              <w:docPartUnique/>
            </w:docPartObj>
          </w:sdtPr>
          <w:sdtEndPr>
            <w:rPr>
              <w:rFonts w:ascii="Arial" w:hAnsi="Arial" w:cs="Arial"/>
              <w:noProof/>
              <w:sz w:val="20"/>
            </w:rPr>
          </w:sdtEndPr>
          <w:sdtContent>
            <w:p w14:paraId="535B8774" w14:textId="77777777" w:rsidR="00B8205B" w:rsidRDefault="008833FC" w:rsidP="00B8205B">
              <w:pPr>
                <w:pStyle w:val="Footer"/>
                <w:rPr>
                  <w:sz w:val="14"/>
                  <w:szCs w:val="20"/>
                </w:rPr>
              </w:pPr>
            </w:p>
            <w:p w14:paraId="7968433B" w14:textId="77777777" w:rsidR="00B8205B" w:rsidRDefault="008833FC" w:rsidP="00B8205B">
              <w:pPr>
                <w:pStyle w:val="Footer"/>
                <w:rPr>
                  <w:sz w:val="14"/>
                  <w:szCs w:val="20"/>
                </w:rPr>
              </w:pPr>
            </w:p>
            <w:p w14:paraId="2FE82353" w14:textId="37667AE3" w:rsidR="00B8205B" w:rsidRPr="005172AC" w:rsidRDefault="009A6D25" w:rsidP="00B8205B">
              <w:pPr>
                <w:pStyle w:val="Footer"/>
                <w:rPr>
                  <w:rFonts w:ascii="Arial" w:hAnsi="Arial" w:cs="Arial"/>
                  <w:noProof/>
                  <w:sz w:val="20"/>
                  <w:szCs w:val="20"/>
                  <w:lang w:val="fr-FR"/>
                </w:rPr>
              </w:pPr>
              <w:r w:rsidRPr="009A6D25">
                <w:rPr>
                  <w:rFonts w:ascii="Arial" w:hAnsi="Arial" w:cs="Arial"/>
                  <w:sz w:val="14"/>
                  <w:szCs w:val="20"/>
                  <w:lang w:val="fr-FR"/>
                </w:rPr>
                <w:t>Mali</w:t>
              </w:r>
              <w:r w:rsidR="001D102A">
                <w:rPr>
                  <w:rFonts w:ascii="Arial" w:hAnsi="Arial" w:cs="Arial"/>
                  <w:sz w:val="14"/>
                  <w:szCs w:val="20"/>
                  <w:lang w:val="fr-FR"/>
                </w:rPr>
                <w:t xml:space="preserve"> </w:t>
              </w:r>
              <w:r w:rsidR="008F54D7" w:rsidRPr="005172AC">
                <w:rPr>
                  <w:rFonts w:ascii="Arial" w:hAnsi="Arial" w:cs="Arial"/>
                  <w:sz w:val="14"/>
                  <w:szCs w:val="20"/>
                  <w:lang w:val="fr-FR"/>
                </w:rPr>
                <w:t xml:space="preserve">: </w:t>
              </w:r>
              <w:r w:rsidR="005172AC" w:rsidRPr="005172AC">
                <w:rPr>
                  <w:rFonts w:ascii="Arial" w:hAnsi="Arial" w:cs="Arial"/>
                  <w:sz w:val="14"/>
                  <w:szCs w:val="20"/>
                  <w:lang w:val="fr-FR"/>
                </w:rPr>
                <w:t>Atténuation des risques aux investissements</w:t>
              </w:r>
              <w:r>
                <w:rPr>
                  <w:rFonts w:ascii="Arial" w:hAnsi="Arial" w:cs="Arial"/>
                  <w:sz w:val="14"/>
                  <w:szCs w:val="20"/>
                  <w:lang w:val="fr-FR"/>
                </w:rPr>
                <w:t xml:space="preserve"> dans les mini-réseaux solaires-PV</w:t>
              </w:r>
              <w:r w:rsidR="005172AC" w:rsidRPr="005172AC">
                <w:rPr>
                  <w:rFonts w:ascii="Arial" w:hAnsi="Arial" w:cs="Arial"/>
                  <w:sz w:val="14"/>
                  <w:szCs w:val="20"/>
                  <w:lang w:val="fr-FR"/>
                </w:rPr>
                <w:t xml:space="preserve"> </w:t>
              </w:r>
              <w:r w:rsidR="008F54D7" w:rsidRPr="005172AC">
                <w:rPr>
                  <w:rFonts w:ascii="Arial" w:hAnsi="Arial" w:cs="Arial"/>
                  <w:sz w:val="14"/>
                  <w:szCs w:val="20"/>
                  <w:lang w:val="fr-FR"/>
                </w:rPr>
                <w:t xml:space="preserve">– </w:t>
              </w:r>
              <w:r w:rsidR="00F62B9C">
                <w:rPr>
                  <w:rFonts w:ascii="Arial" w:hAnsi="Arial" w:cs="Arial"/>
                  <w:sz w:val="14"/>
                  <w:szCs w:val="20"/>
                  <w:lang w:val="fr-FR"/>
                </w:rPr>
                <w:t xml:space="preserve">Points-clés </w:t>
              </w:r>
              <w:r w:rsidR="005172AC">
                <w:rPr>
                  <w:rFonts w:ascii="Arial" w:hAnsi="Arial" w:cs="Arial"/>
                  <w:sz w:val="14"/>
                  <w:szCs w:val="20"/>
                  <w:lang w:val="fr-FR"/>
                </w:rPr>
                <w:t>pour les décideurs</w:t>
              </w:r>
            </w:p>
          </w:sdtContent>
        </w:sdt>
      </w:tc>
    </w:tr>
  </w:tbl>
  <w:p w14:paraId="4CA40C5D" w14:textId="77777777" w:rsidR="00B8205B" w:rsidRPr="005172AC" w:rsidRDefault="008833FC" w:rsidP="00BB0A4B">
    <w:pPr>
      <w:pStyle w:val="Header"/>
      <w:rPr>
        <w:sz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48E98" w14:textId="44A77F9D" w:rsidR="00487E69" w:rsidRDefault="008F54D7">
    <w:pPr>
      <w:pStyle w:val="Header"/>
      <w:rPr>
        <w:rFonts w:ascii="Arial" w:hAnsi="Arial" w:cs="Arial"/>
        <w:color w:val="0070C0"/>
        <w:sz w:val="18"/>
        <w:szCs w:val="18"/>
        <w:lang w:val="fr-FR"/>
      </w:rPr>
    </w:pPr>
    <w:r w:rsidRPr="006F64DA">
      <w:rPr>
        <w:rFonts w:ascii="Arial" w:hAnsi="Arial" w:cs="Arial"/>
        <w:color w:val="0070C0"/>
        <w:sz w:val="18"/>
        <w:szCs w:val="18"/>
        <w:lang w:val="fr-FR"/>
      </w:rPr>
      <w:t>Programme</w:t>
    </w:r>
    <w:r w:rsidR="006F64DA" w:rsidRPr="006F64DA">
      <w:rPr>
        <w:rFonts w:ascii="Arial" w:hAnsi="Arial" w:cs="Arial"/>
        <w:color w:val="0070C0"/>
        <w:sz w:val="18"/>
        <w:szCs w:val="18"/>
        <w:lang w:val="fr-FR"/>
      </w:rPr>
      <w:t xml:space="preserve"> des Nations Unies pour </w:t>
    </w:r>
    <w:r w:rsidR="006F64DA">
      <w:rPr>
        <w:rFonts w:ascii="Arial" w:hAnsi="Arial" w:cs="Arial"/>
        <w:color w:val="0070C0"/>
        <w:sz w:val="18"/>
        <w:szCs w:val="18"/>
        <w:lang w:val="fr-FR"/>
      </w:rPr>
      <w:t>le Développement</w:t>
    </w:r>
  </w:p>
  <w:p w14:paraId="37D6804D" w14:textId="77777777" w:rsidR="006F64DA" w:rsidRPr="006F64DA" w:rsidRDefault="006F64DA">
    <w:pPr>
      <w:pStyle w:val="Header"/>
      <w:rPr>
        <w:rFonts w:ascii="Arial" w:hAnsi="Arial" w:cs="Arial"/>
        <w:color w:val="0070C0"/>
        <w:sz w:val="18"/>
        <w:szCs w:val="18"/>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6852"/>
    <w:multiLevelType w:val="hybridMultilevel"/>
    <w:tmpl w:val="EA14C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9B352E"/>
    <w:multiLevelType w:val="hybridMultilevel"/>
    <w:tmpl w:val="4218EC12"/>
    <w:lvl w:ilvl="0" w:tplc="08090001">
      <w:start w:val="1"/>
      <w:numFmt w:val="bullet"/>
      <w:lvlText w:val=""/>
      <w:lvlJc w:val="left"/>
      <w:pPr>
        <w:ind w:left="360" w:hanging="360"/>
      </w:pPr>
      <w:rPr>
        <w:rFonts w:ascii="Symbol" w:hAnsi="Symbol" w:hint="default"/>
      </w:rPr>
    </w:lvl>
    <w:lvl w:ilvl="1" w:tplc="F5123EFE">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43E324A"/>
    <w:multiLevelType w:val="hybridMultilevel"/>
    <w:tmpl w:val="EE64FA2E"/>
    <w:lvl w:ilvl="0" w:tplc="63E850D8">
      <w:start w:val="1"/>
      <w:numFmt w:val="bullet"/>
      <w:lvlText w:val="•"/>
      <w:lvlJc w:val="left"/>
      <w:pPr>
        <w:tabs>
          <w:tab w:val="num" w:pos="720"/>
        </w:tabs>
        <w:ind w:left="720" w:hanging="360"/>
      </w:pPr>
      <w:rPr>
        <w:rFonts w:ascii="Arial" w:hAnsi="Arial" w:hint="default"/>
      </w:rPr>
    </w:lvl>
    <w:lvl w:ilvl="1" w:tplc="C2B8B5D8" w:tentative="1">
      <w:start w:val="1"/>
      <w:numFmt w:val="bullet"/>
      <w:lvlText w:val="•"/>
      <w:lvlJc w:val="left"/>
      <w:pPr>
        <w:tabs>
          <w:tab w:val="num" w:pos="1440"/>
        </w:tabs>
        <w:ind w:left="1440" w:hanging="360"/>
      </w:pPr>
      <w:rPr>
        <w:rFonts w:ascii="Arial" w:hAnsi="Arial" w:hint="default"/>
      </w:rPr>
    </w:lvl>
    <w:lvl w:ilvl="2" w:tplc="CB7E235C" w:tentative="1">
      <w:start w:val="1"/>
      <w:numFmt w:val="bullet"/>
      <w:lvlText w:val="•"/>
      <w:lvlJc w:val="left"/>
      <w:pPr>
        <w:tabs>
          <w:tab w:val="num" w:pos="2160"/>
        </w:tabs>
        <w:ind w:left="2160" w:hanging="360"/>
      </w:pPr>
      <w:rPr>
        <w:rFonts w:ascii="Arial" w:hAnsi="Arial" w:hint="default"/>
      </w:rPr>
    </w:lvl>
    <w:lvl w:ilvl="3" w:tplc="E416A9FE" w:tentative="1">
      <w:start w:val="1"/>
      <w:numFmt w:val="bullet"/>
      <w:lvlText w:val="•"/>
      <w:lvlJc w:val="left"/>
      <w:pPr>
        <w:tabs>
          <w:tab w:val="num" w:pos="2880"/>
        </w:tabs>
        <w:ind w:left="2880" w:hanging="360"/>
      </w:pPr>
      <w:rPr>
        <w:rFonts w:ascii="Arial" w:hAnsi="Arial" w:hint="default"/>
      </w:rPr>
    </w:lvl>
    <w:lvl w:ilvl="4" w:tplc="129E99C2" w:tentative="1">
      <w:start w:val="1"/>
      <w:numFmt w:val="bullet"/>
      <w:lvlText w:val="•"/>
      <w:lvlJc w:val="left"/>
      <w:pPr>
        <w:tabs>
          <w:tab w:val="num" w:pos="3600"/>
        </w:tabs>
        <w:ind w:left="3600" w:hanging="360"/>
      </w:pPr>
      <w:rPr>
        <w:rFonts w:ascii="Arial" w:hAnsi="Arial" w:hint="default"/>
      </w:rPr>
    </w:lvl>
    <w:lvl w:ilvl="5" w:tplc="1DF464EE" w:tentative="1">
      <w:start w:val="1"/>
      <w:numFmt w:val="bullet"/>
      <w:lvlText w:val="•"/>
      <w:lvlJc w:val="left"/>
      <w:pPr>
        <w:tabs>
          <w:tab w:val="num" w:pos="4320"/>
        </w:tabs>
        <w:ind w:left="4320" w:hanging="360"/>
      </w:pPr>
      <w:rPr>
        <w:rFonts w:ascii="Arial" w:hAnsi="Arial" w:hint="default"/>
      </w:rPr>
    </w:lvl>
    <w:lvl w:ilvl="6" w:tplc="7C46F72C" w:tentative="1">
      <w:start w:val="1"/>
      <w:numFmt w:val="bullet"/>
      <w:lvlText w:val="•"/>
      <w:lvlJc w:val="left"/>
      <w:pPr>
        <w:tabs>
          <w:tab w:val="num" w:pos="5040"/>
        </w:tabs>
        <w:ind w:left="5040" w:hanging="360"/>
      </w:pPr>
      <w:rPr>
        <w:rFonts w:ascii="Arial" w:hAnsi="Arial" w:hint="default"/>
      </w:rPr>
    </w:lvl>
    <w:lvl w:ilvl="7" w:tplc="E52682A2" w:tentative="1">
      <w:start w:val="1"/>
      <w:numFmt w:val="bullet"/>
      <w:lvlText w:val="•"/>
      <w:lvlJc w:val="left"/>
      <w:pPr>
        <w:tabs>
          <w:tab w:val="num" w:pos="5760"/>
        </w:tabs>
        <w:ind w:left="5760" w:hanging="360"/>
      </w:pPr>
      <w:rPr>
        <w:rFonts w:ascii="Arial" w:hAnsi="Arial" w:hint="default"/>
      </w:rPr>
    </w:lvl>
    <w:lvl w:ilvl="8" w:tplc="E56E6366" w:tentative="1">
      <w:start w:val="1"/>
      <w:numFmt w:val="bullet"/>
      <w:lvlText w:val="•"/>
      <w:lvlJc w:val="left"/>
      <w:pPr>
        <w:tabs>
          <w:tab w:val="num" w:pos="6480"/>
        </w:tabs>
        <w:ind w:left="6480" w:hanging="360"/>
      </w:pPr>
      <w:rPr>
        <w:rFonts w:ascii="Arial" w:hAnsi="Arial" w:hint="default"/>
      </w:rPr>
    </w:lvl>
  </w:abstractNum>
  <w:abstractNum w:abstractNumId="3">
    <w:nsid w:val="1F1235C7"/>
    <w:multiLevelType w:val="hybridMultilevel"/>
    <w:tmpl w:val="B05C5966"/>
    <w:lvl w:ilvl="0" w:tplc="26563046">
      <w:start w:val="1"/>
      <w:numFmt w:val="bullet"/>
      <w:lvlText w:val="•"/>
      <w:lvlJc w:val="left"/>
      <w:pPr>
        <w:tabs>
          <w:tab w:val="num" w:pos="720"/>
        </w:tabs>
        <w:ind w:left="720" w:hanging="360"/>
      </w:pPr>
      <w:rPr>
        <w:rFonts w:ascii="Arial" w:hAnsi="Arial" w:hint="default"/>
      </w:rPr>
    </w:lvl>
    <w:lvl w:ilvl="1" w:tplc="34FC11BC" w:tentative="1">
      <w:start w:val="1"/>
      <w:numFmt w:val="bullet"/>
      <w:lvlText w:val="•"/>
      <w:lvlJc w:val="left"/>
      <w:pPr>
        <w:tabs>
          <w:tab w:val="num" w:pos="1440"/>
        </w:tabs>
        <w:ind w:left="1440" w:hanging="360"/>
      </w:pPr>
      <w:rPr>
        <w:rFonts w:ascii="Arial" w:hAnsi="Arial" w:hint="default"/>
      </w:rPr>
    </w:lvl>
    <w:lvl w:ilvl="2" w:tplc="A7C251DE" w:tentative="1">
      <w:start w:val="1"/>
      <w:numFmt w:val="bullet"/>
      <w:lvlText w:val="•"/>
      <w:lvlJc w:val="left"/>
      <w:pPr>
        <w:tabs>
          <w:tab w:val="num" w:pos="2160"/>
        </w:tabs>
        <w:ind w:left="2160" w:hanging="360"/>
      </w:pPr>
      <w:rPr>
        <w:rFonts w:ascii="Arial" w:hAnsi="Arial" w:hint="default"/>
      </w:rPr>
    </w:lvl>
    <w:lvl w:ilvl="3" w:tplc="01B6E224" w:tentative="1">
      <w:start w:val="1"/>
      <w:numFmt w:val="bullet"/>
      <w:lvlText w:val="•"/>
      <w:lvlJc w:val="left"/>
      <w:pPr>
        <w:tabs>
          <w:tab w:val="num" w:pos="2880"/>
        </w:tabs>
        <w:ind w:left="2880" w:hanging="360"/>
      </w:pPr>
      <w:rPr>
        <w:rFonts w:ascii="Arial" w:hAnsi="Arial" w:hint="default"/>
      </w:rPr>
    </w:lvl>
    <w:lvl w:ilvl="4" w:tplc="0FAED856" w:tentative="1">
      <w:start w:val="1"/>
      <w:numFmt w:val="bullet"/>
      <w:lvlText w:val="•"/>
      <w:lvlJc w:val="left"/>
      <w:pPr>
        <w:tabs>
          <w:tab w:val="num" w:pos="3600"/>
        </w:tabs>
        <w:ind w:left="3600" w:hanging="360"/>
      </w:pPr>
      <w:rPr>
        <w:rFonts w:ascii="Arial" w:hAnsi="Arial" w:hint="default"/>
      </w:rPr>
    </w:lvl>
    <w:lvl w:ilvl="5" w:tplc="E592D3FA" w:tentative="1">
      <w:start w:val="1"/>
      <w:numFmt w:val="bullet"/>
      <w:lvlText w:val="•"/>
      <w:lvlJc w:val="left"/>
      <w:pPr>
        <w:tabs>
          <w:tab w:val="num" w:pos="4320"/>
        </w:tabs>
        <w:ind w:left="4320" w:hanging="360"/>
      </w:pPr>
      <w:rPr>
        <w:rFonts w:ascii="Arial" w:hAnsi="Arial" w:hint="default"/>
      </w:rPr>
    </w:lvl>
    <w:lvl w:ilvl="6" w:tplc="BE4AD00A" w:tentative="1">
      <w:start w:val="1"/>
      <w:numFmt w:val="bullet"/>
      <w:lvlText w:val="•"/>
      <w:lvlJc w:val="left"/>
      <w:pPr>
        <w:tabs>
          <w:tab w:val="num" w:pos="5040"/>
        </w:tabs>
        <w:ind w:left="5040" w:hanging="360"/>
      </w:pPr>
      <w:rPr>
        <w:rFonts w:ascii="Arial" w:hAnsi="Arial" w:hint="default"/>
      </w:rPr>
    </w:lvl>
    <w:lvl w:ilvl="7" w:tplc="88BC2844" w:tentative="1">
      <w:start w:val="1"/>
      <w:numFmt w:val="bullet"/>
      <w:lvlText w:val="•"/>
      <w:lvlJc w:val="left"/>
      <w:pPr>
        <w:tabs>
          <w:tab w:val="num" w:pos="5760"/>
        </w:tabs>
        <w:ind w:left="5760" w:hanging="360"/>
      </w:pPr>
      <w:rPr>
        <w:rFonts w:ascii="Arial" w:hAnsi="Arial" w:hint="default"/>
      </w:rPr>
    </w:lvl>
    <w:lvl w:ilvl="8" w:tplc="1E04E2F8" w:tentative="1">
      <w:start w:val="1"/>
      <w:numFmt w:val="bullet"/>
      <w:lvlText w:val="•"/>
      <w:lvlJc w:val="left"/>
      <w:pPr>
        <w:tabs>
          <w:tab w:val="num" w:pos="6480"/>
        </w:tabs>
        <w:ind w:left="6480" w:hanging="360"/>
      </w:pPr>
      <w:rPr>
        <w:rFonts w:ascii="Arial" w:hAnsi="Arial" w:hint="default"/>
      </w:rPr>
    </w:lvl>
  </w:abstractNum>
  <w:abstractNum w:abstractNumId="4">
    <w:nsid w:val="20DA772A"/>
    <w:multiLevelType w:val="hybridMultilevel"/>
    <w:tmpl w:val="A906E2F8"/>
    <w:lvl w:ilvl="0" w:tplc="04CAF62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6B42B03"/>
    <w:multiLevelType w:val="hybridMultilevel"/>
    <w:tmpl w:val="94FC1C00"/>
    <w:lvl w:ilvl="0" w:tplc="9104A996">
      <w:start w:val="1"/>
      <w:numFmt w:val="bullet"/>
      <w:lvlText w:val="•"/>
      <w:lvlJc w:val="left"/>
      <w:pPr>
        <w:tabs>
          <w:tab w:val="num" w:pos="720"/>
        </w:tabs>
        <w:ind w:left="720" w:hanging="360"/>
      </w:pPr>
      <w:rPr>
        <w:rFonts w:ascii="Arial" w:hAnsi="Arial" w:hint="default"/>
      </w:rPr>
    </w:lvl>
    <w:lvl w:ilvl="1" w:tplc="6226C550" w:tentative="1">
      <w:start w:val="1"/>
      <w:numFmt w:val="bullet"/>
      <w:lvlText w:val="•"/>
      <w:lvlJc w:val="left"/>
      <w:pPr>
        <w:tabs>
          <w:tab w:val="num" w:pos="1440"/>
        </w:tabs>
        <w:ind w:left="1440" w:hanging="360"/>
      </w:pPr>
      <w:rPr>
        <w:rFonts w:ascii="Arial" w:hAnsi="Arial" w:hint="default"/>
      </w:rPr>
    </w:lvl>
    <w:lvl w:ilvl="2" w:tplc="02F268CA" w:tentative="1">
      <w:start w:val="1"/>
      <w:numFmt w:val="bullet"/>
      <w:lvlText w:val="•"/>
      <w:lvlJc w:val="left"/>
      <w:pPr>
        <w:tabs>
          <w:tab w:val="num" w:pos="2160"/>
        </w:tabs>
        <w:ind w:left="2160" w:hanging="360"/>
      </w:pPr>
      <w:rPr>
        <w:rFonts w:ascii="Arial" w:hAnsi="Arial" w:hint="default"/>
      </w:rPr>
    </w:lvl>
    <w:lvl w:ilvl="3" w:tplc="82F210FC" w:tentative="1">
      <w:start w:val="1"/>
      <w:numFmt w:val="bullet"/>
      <w:lvlText w:val="•"/>
      <w:lvlJc w:val="left"/>
      <w:pPr>
        <w:tabs>
          <w:tab w:val="num" w:pos="2880"/>
        </w:tabs>
        <w:ind w:left="2880" w:hanging="360"/>
      </w:pPr>
      <w:rPr>
        <w:rFonts w:ascii="Arial" w:hAnsi="Arial" w:hint="default"/>
      </w:rPr>
    </w:lvl>
    <w:lvl w:ilvl="4" w:tplc="F454E35C" w:tentative="1">
      <w:start w:val="1"/>
      <w:numFmt w:val="bullet"/>
      <w:lvlText w:val="•"/>
      <w:lvlJc w:val="left"/>
      <w:pPr>
        <w:tabs>
          <w:tab w:val="num" w:pos="3600"/>
        </w:tabs>
        <w:ind w:left="3600" w:hanging="360"/>
      </w:pPr>
      <w:rPr>
        <w:rFonts w:ascii="Arial" w:hAnsi="Arial" w:hint="default"/>
      </w:rPr>
    </w:lvl>
    <w:lvl w:ilvl="5" w:tplc="ECFC02C0" w:tentative="1">
      <w:start w:val="1"/>
      <w:numFmt w:val="bullet"/>
      <w:lvlText w:val="•"/>
      <w:lvlJc w:val="left"/>
      <w:pPr>
        <w:tabs>
          <w:tab w:val="num" w:pos="4320"/>
        </w:tabs>
        <w:ind w:left="4320" w:hanging="360"/>
      </w:pPr>
      <w:rPr>
        <w:rFonts w:ascii="Arial" w:hAnsi="Arial" w:hint="default"/>
      </w:rPr>
    </w:lvl>
    <w:lvl w:ilvl="6" w:tplc="F7F4D0A0" w:tentative="1">
      <w:start w:val="1"/>
      <w:numFmt w:val="bullet"/>
      <w:lvlText w:val="•"/>
      <w:lvlJc w:val="left"/>
      <w:pPr>
        <w:tabs>
          <w:tab w:val="num" w:pos="5040"/>
        </w:tabs>
        <w:ind w:left="5040" w:hanging="360"/>
      </w:pPr>
      <w:rPr>
        <w:rFonts w:ascii="Arial" w:hAnsi="Arial" w:hint="default"/>
      </w:rPr>
    </w:lvl>
    <w:lvl w:ilvl="7" w:tplc="2ED87DF4" w:tentative="1">
      <w:start w:val="1"/>
      <w:numFmt w:val="bullet"/>
      <w:lvlText w:val="•"/>
      <w:lvlJc w:val="left"/>
      <w:pPr>
        <w:tabs>
          <w:tab w:val="num" w:pos="5760"/>
        </w:tabs>
        <w:ind w:left="5760" w:hanging="360"/>
      </w:pPr>
      <w:rPr>
        <w:rFonts w:ascii="Arial" w:hAnsi="Arial" w:hint="default"/>
      </w:rPr>
    </w:lvl>
    <w:lvl w:ilvl="8" w:tplc="7020E4FE" w:tentative="1">
      <w:start w:val="1"/>
      <w:numFmt w:val="bullet"/>
      <w:lvlText w:val="•"/>
      <w:lvlJc w:val="left"/>
      <w:pPr>
        <w:tabs>
          <w:tab w:val="num" w:pos="6480"/>
        </w:tabs>
        <w:ind w:left="6480" w:hanging="360"/>
      </w:pPr>
      <w:rPr>
        <w:rFonts w:ascii="Arial" w:hAnsi="Arial" w:hint="default"/>
      </w:rPr>
    </w:lvl>
  </w:abstractNum>
  <w:abstractNum w:abstractNumId="6">
    <w:nsid w:val="4FE12801"/>
    <w:multiLevelType w:val="hybridMultilevel"/>
    <w:tmpl w:val="B99C0EB4"/>
    <w:lvl w:ilvl="0" w:tplc="08090001">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4D80998"/>
    <w:multiLevelType w:val="hybridMultilevel"/>
    <w:tmpl w:val="0984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A225FE"/>
    <w:multiLevelType w:val="hybridMultilevel"/>
    <w:tmpl w:val="408A7208"/>
    <w:lvl w:ilvl="0" w:tplc="04CAF62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B1E7B6C"/>
    <w:multiLevelType w:val="hybridMultilevel"/>
    <w:tmpl w:val="3990C48E"/>
    <w:lvl w:ilvl="0" w:tplc="04CAF62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BB80EAF"/>
    <w:multiLevelType w:val="hybridMultilevel"/>
    <w:tmpl w:val="0A7C8A3E"/>
    <w:lvl w:ilvl="0" w:tplc="04CAF62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EFB2983"/>
    <w:multiLevelType w:val="hybridMultilevel"/>
    <w:tmpl w:val="5CC45B52"/>
    <w:lvl w:ilvl="0" w:tplc="04090001">
      <w:start w:val="1"/>
      <w:numFmt w:val="bullet"/>
      <w:lvlText w:val=""/>
      <w:lvlJc w:val="left"/>
      <w:pPr>
        <w:ind w:left="720" w:hanging="360"/>
      </w:pPr>
      <w:rPr>
        <w:rFonts w:ascii="Symbol" w:hAnsi="Symbol" w:hint="default"/>
      </w:rPr>
    </w:lvl>
    <w:lvl w:ilvl="1" w:tplc="CA3E5E1A">
      <w:start w:val="1"/>
      <w:numFmt w:val="bullet"/>
      <w:lvlText w:val="o"/>
      <w:lvlJc w:val="left"/>
      <w:pPr>
        <w:ind w:left="1440" w:hanging="360"/>
      </w:pPr>
      <w:rPr>
        <w:rFonts w:ascii="Courier New" w:hAnsi="Courier New" w:cs="Courier New" w:hint="default"/>
        <w:lang w:val="fr-FR"/>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
  </w:num>
  <w:num w:numId="4">
    <w:abstractNumId w:val="6"/>
  </w:num>
  <w:num w:numId="5">
    <w:abstractNumId w:val="8"/>
  </w:num>
  <w:num w:numId="6">
    <w:abstractNumId w:val="4"/>
  </w:num>
  <w:num w:numId="7">
    <w:abstractNumId w:val="10"/>
  </w:num>
  <w:num w:numId="8">
    <w:abstractNumId w:val="9"/>
  </w:num>
  <w:num w:numId="9">
    <w:abstractNumId w:val="0"/>
  </w:num>
  <w:num w:numId="10">
    <w:abstractNumId w:val="5"/>
  </w:num>
  <w:num w:numId="11">
    <w:abstractNumId w:val="3"/>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than Schwieger">
    <w15:presenceInfo w15:providerId="AD" w15:userId="S::jonathan.schwieger@firstclimate.com::270757af-0272-468c-8a10-e815278461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5B7"/>
    <w:rsid w:val="000050D4"/>
    <w:rsid w:val="00025C08"/>
    <w:rsid w:val="000311D0"/>
    <w:rsid w:val="00031734"/>
    <w:rsid w:val="00055D7C"/>
    <w:rsid w:val="0005674E"/>
    <w:rsid w:val="000701AB"/>
    <w:rsid w:val="00070AC9"/>
    <w:rsid w:val="00076356"/>
    <w:rsid w:val="000933A6"/>
    <w:rsid w:val="000A0B20"/>
    <w:rsid w:val="000B5FA0"/>
    <w:rsid w:val="000C5BA7"/>
    <w:rsid w:val="000D00FF"/>
    <w:rsid w:val="000F62A4"/>
    <w:rsid w:val="0010748B"/>
    <w:rsid w:val="00115DA1"/>
    <w:rsid w:val="00122166"/>
    <w:rsid w:val="00124D24"/>
    <w:rsid w:val="00140C6A"/>
    <w:rsid w:val="001542DC"/>
    <w:rsid w:val="00154912"/>
    <w:rsid w:val="00177A87"/>
    <w:rsid w:val="0018276E"/>
    <w:rsid w:val="00182837"/>
    <w:rsid w:val="00191955"/>
    <w:rsid w:val="001A0228"/>
    <w:rsid w:val="001A787C"/>
    <w:rsid w:val="001A7BB0"/>
    <w:rsid w:val="001D0ECB"/>
    <w:rsid w:val="001D102A"/>
    <w:rsid w:val="001E6F16"/>
    <w:rsid w:val="00202057"/>
    <w:rsid w:val="00207E58"/>
    <w:rsid w:val="002112A7"/>
    <w:rsid w:val="00222C66"/>
    <w:rsid w:val="00222EF0"/>
    <w:rsid w:val="00232FBB"/>
    <w:rsid w:val="00235D1F"/>
    <w:rsid w:val="00246A85"/>
    <w:rsid w:val="0027020A"/>
    <w:rsid w:val="0027123E"/>
    <w:rsid w:val="00277D64"/>
    <w:rsid w:val="00285E7A"/>
    <w:rsid w:val="002911F2"/>
    <w:rsid w:val="0029369C"/>
    <w:rsid w:val="002B7136"/>
    <w:rsid w:val="002C0FCC"/>
    <w:rsid w:val="002E3BD2"/>
    <w:rsid w:val="002F7475"/>
    <w:rsid w:val="0030705E"/>
    <w:rsid w:val="003151D1"/>
    <w:rsid w:val="00315B8F"/>
    <w:rsid w:val="003245A8"/>
    <w:rsid w:val="00330E5B"/>
    <w:rsid w:val="00341BB7"/>
    <w:rsid w:val="00357250"/>
    <w:rsid w:val="003823DB"/>
    <w:rsid w:val="00383C80"/>
    <w:rsid w:val="003A58C4"/>
    <w:rsid w:val="003B73D9"/>
    <w:rsid w:val="003D0D74"/>
    <w:rsid w:val="003F1AAB"/>
    <w:rsid w:val="00405E38"/>
    <w:rsid w:val="00422A4B"/>
    <w:rsid w:val="004247CB"/>
    <w:rsid w:val="00440272"/>
    <w:rsid w:val="00452E5E"/>
    <w:rsid w:val="00462204"/>
    <w:rsid w:val="00463019"/>
    <w:rsid w:val="00464E01"/>
    <w:rsid w:val="00464F38"/>
    <w:rsid w:val="004732D8"/>
    <w:rsid w:val="00481C6A"/>
    <w:rsid w:val="00487D9A"/>
    <w:rsid w:val="00491AD1"/>
    <w:rsid w:val="00495810"/>
    <w:rsid w:val="004A39C4"/>
    <w:rsid w:val="004B23FC"/>
    <w:rsid w:val="004B4EDF"/>
    <w:rsid w:val="004C0504"/>
    <w:rsid w:val="004D1347"/>
    <w:rsid w:val="004E59BE"/>
    <w:rsid w:val="004F18DF"/>
    <w:rsid w:val="005172AC"/>
    <w:rsid w:val="005174EF"/>
    <w:rsid w:val="00523006"/>
    <w:rsid w:val="005269AE"/>
    <w:rsid w:val="0054767A"/>
    <w:rsid w:val="005825EF"/>
    <w:rsid w:val="005A5A43"/>
    <w:rsid w:val="005B7939"/>
    <w:rsid w:val="005D6760"/>
    <w:rsid w:val="005E5738"/>
    <w:rsid w:val="005E5764"/>
    <w:rsid w:val="00621C41"/>
    <w:rsid w:val="006263C0"/>
    <w:rsid w:val="0063611F"/>
    <w:rsid w:val="00644B26"/>
    <w:rsid w:val="006661A8"/>
    <w:rsid w:val="0067768C"/>
    <w:rsid w:val="00685AE3"/>
    <w:rsid w:val="00686889"/>
    <w:rsid w:val="006B2344"/>
    <w:rsid w:val="006C0715"/>
    <w:rsid w:val="006C336D"/>
    <w:rsid w:val="006C7558"/>
    <w:rsid w:val="006F64DA"/>
    <w:rsid w:val="007040BE"/>
    <w:rsid w:val="00717799"/>
    <w:rsid w:val="0075198C"/>
    <w:rsid w:val="00757026"/>
    <w:rsid w:val="007602F4"/>
    <w:rsid w:val="00772F7C"/>
    <w:rsid w:val="00775BB3"/>
    <w:rsid w:val="007875C3"/>
    <w:rsid w:val="007B6EB7"/>
    <w:rsid w:val="007C0758"/>
    <w:rsid w:val="008061D0"/>
    <w:rsid w:val="008105D5"/>
    <w:rsid w:val="00815218"/>
    <w:rsid w:val="008254B1"/>
    <w:rsid w:val="00836567"/>
    <w:rsid w:val="00842FED"/>
    <w:rsid w:val="00855622"/>
    <w:rsid w:val="008570D8"/>
    <w:rsid w:val="0089785E"/>
    <w:rsid w:val="008A0562"/>
    <w:rsid w:val="008A28B4"/>
    <w:rsid w:val="008B42C3"/>
    <w:rsid w:val="008B7841"/>
    <w:rsid w:val="008D2A08"/>
    <w:rsid w:val="008D4211"/>
    <w:rsid w:val="008F0A73"/>
    <w:rsid w:val="008F54D7"/>
    <w:rsid w:val="009041B1"/>
    <w:rsid w:val="00931DF0"/>
    <w:rsid w:val="00952207"/>
    <w:rsid w:val="009640FC"/>
    <w:rsid w:val="009720F9"/>
    <w:rsid w:val="0098264A"/>
    <w:rsid w:val="009852EB"/>
    <w:rsid w:val="009A6D25"/>
    <w:rsid w:val="009B3734"/>
    <w:rsid w:val="009C0A79"/>
    <w:rsid w:val="009C1939"/>
    <w:rsid w:val="009D73A4"/>
    <w:rsid w:val="009E2235"/>
    <w:rsid w:val="009E627D"/>
    <w:rsid w:val="00A050F0"/>
    <w:rsid w:val="00A1568D"/>
    <w:rsid w:val="00A267EE"/>
    <w:rsid w:val="00A320AF"/>
    <w:rsid w:val="00A34FAC"/>
    <w:rsid w:val="00A429DB"/>
    <w:rsid w:val="00A45424"/>
    <w:rsid w:val="00A46AD2"/>
    <w:rsid w:val="00A47F9A"/>
    <w:rsid w:val="00A515C3"/>
    <w:rsid w:val="00A57F49"/>
    <w:rsid w:val="00A625E7"/>
    <w:rsid w:val="00A84EDF"/>
    <w:rsid w:val="00A95E5B"/>
    <w:rsid w:val="00A97F44"/>
    <w:rsid w:val="00AC057F"/>
    <w:rsid w:val="00AC58EA"/>
    <w:rsid w:val="00AE011C"/>
    <w:rsid w:val="00AF117C"/>
    <w:rsid w:val="00AF5F3A"/>
    <w:rsid w:val="00B00559"/>
    <w:rsid w:val="00B05240"/>
    <w:rsid w:val="00B2175F"/>
    <w:rsid w:val="00B31565"/>
    <w:rsid w:val="00B4735A"/>
    <w:rsid w:val="00B50E37"/>
    <w:rsid w:val="00B528C8"/>
    <w:rsid w:val="00B867F0"/>
    <w:rsid w:val="00B931A2"/>
    <w:rsid w:val="00B975B7"/>
    <w:rsid w:val="00BA783D"/>
    <w:rsid w:val="00BB2FA4"/>
    <w:rsid w:val="00BC76E8"/>
    <w:rsid w:val="00BE0E75"/>
    <w:rsid w:val="00C102C4"/>
    <w:rsid w:val="00C1218B"/>
    <w:rsid w:val="00C37CAE"/>
    <w:rsid w:val="00C45F93"/>
    <w:rsid w:val="00C50BB4"/>
    <w:rsid w:val="00C52342"/>
    <w:rsid w:val="00C80D53"/>
    <w:rsid w:val="00C86E03"/>
    <w:rsid w:val="00C9746B"/>
    <w:rsid w:val="00CA4F38"/>
    <w:rsid w:val="00CB6DB5"/>
    <w:rsid w:val="00CC34F9"/>
    <w:rsid w:val="00CD272E"/>
    <w:rsid w:val="00D017B4"/>
    <w:rsid w:val="00D06AB6"/>
    <w:rsid w:val="00D118F0"/>
    <w:rsid w:val="00D24F02"/>
    <w:rsid w:val="00D26574"/>
    <w:rsid w:val="00D34320"/>
    <w:rsid w:val="00D3685C"/>
    <w:rsid w:val="00D37D84"/>
    <w:rsid w:val="00D453B1"/>
    <w:rsid w:val="00D751FD"/>
    <w:rsid w:val="00D75C63"/>
    <w:rsid w:val="00D802DE"/>
    <w:rsid w:val="00D80E32"/>
    <w:rsid w:val="00D87477"/>
    <w:rsid w:val="00DB1EC6"/>
    <w:rsid w:val="00DD1E7C"/>
    <w:rsid w:val="00DD27C8"/>
    <w:rsid w:val="00DE37A1"/>
    <w:rsid w:val="00DE3A7B"/>
    <w:rsid w:val="00DE74F0"/>
    <w:rsid w:val="00E02C52"/>
    <w:rsid w:val="00E10D7D"/>
    <w:rsid w:val="00E2683E"/>
    <w:rsid w:val="00E26E0D"/>
    <w:rsid w:val="00E47635"/>
    <w:rsid w:val="00E732E5"/>
    <w:rsid w:val="00E81CEE"/>
    <w:rsid w:val="00E825D2"/>
    <w:rsid w:val="00E82EE9"/>
    <w:rsid w:val="00E83278"/>
    <w:rsid w:val="00EB14F8"/>
    <w:rsid w:val="00ED3406"/>
    <w:rsid w:val="00EE1556"/>
    <w:rsid w:val="00F02DA1"/>
    <w:rsid w:val="00F034C8"/>
    <w:rsid w:val="00F14763"/>
    <w:rsid w:val="00F55FA9"/>
    <w:rsid w:val="00F62B9C"/>
    <w:rsid w:val="00F650CB"/>
    <w:rsid w:val="00F77964"/>
    <w:rsid w:val="00F8444B"/>
    <w:rsid w:val="00F90CE4"/>
    <w:rsid w:val="00F975FE"/>
    <w:rsid w:val="00FA4577"/>
    <w:rsid w:val="00FC17FE"/>
    <w:rsid w:val="00FC48C8"/>
    <w:rsid w:val="00FD5DAB"/>
    <w:rsid w:val="00FF73B2"/>
    <w:rsid w:val="00FF7527"/>
    <w:rsid w:val="074D5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CD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FA0"/>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5FA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FA0"/>
    <w:pPr>
      <w:spacing w:after="200" w:line="276" w:lineRule="auto"/>
      <w:ind w:left="720"/>
      <w:contextualSpacing/>
      <w:jc w:val="both"/>
    </w:pPr>
    <w:rPr>
      <w:lang w:bidi="en-US"/>
    </w:rPr>
  </w:style>
  <w:style w:type="paragraph" w:styleId="FootnoteText">
    <w:name w:val="footnote text"/>
    <w:basedOn w:val="Normal"/>
    <w:link w:val="FootnoteTextChar"/>
    <w:uiPriority w:val="99"/>
    <w:unhideWhenUsed/>
    <w:rsid w:val="000B5FA0"/>
    <w:pPr>
      <w:spacing w:after="0" w:line="240" w:lineRule="auto"/>
    </w:pPr>
    <w:rPr>
      <w:sz w:val="20"/>
      <w:szCs w:val="20"/>
    </w:rPr>
  </w:style>
  <w:style w:type="character" w:customStyle="1" w:styleId="FootnoteTextChar">
    <w:name w:val="Footnote Text Char"/>
    <w:basedOn w:val="DefaultParagraphFont"/>
    <w:link w:val="FootnoteText"/>
    <w:uiPriority w:val="99"/>
    <w:rsid w:val="000B5FA0"/>
    <w:rPr>
      <w:rFonts w:eastAsiaTheme="minorHAnsi"/>
      <w:sz w:val="20"/>
      <w:szCs w:val="20"/>
      <w:lang w:eastAsia="en-US"/>
    </w:rPr>
  </w:style>
  <w:style w:type="character" w:styleId="FootnoteReference">
    <w:name w:val="footnote reference"/>
    <w:basedOn w:val="DefaultParagraphFont"/>
    <w:uiPriority w:val="99"/>
    <w:unhideWhenUsed/>
    <w:rsid w:val="000B5FA0"/>
    <w:rPr>
      <w:vertAlign w:val="superscript"/>
    </w:rPr>
  </w:style>
  <w:style w:type="character" w:styleId="Hyperlink">
    <w:name w:val="Hyperlink"/>
    <w:basedOn w:val="DefaultParagraphFont"/>
    <w:uiPriority w:val="99"/>
    <w:unhideWhenUsed/>
    <w:rsid w:val="000B5FA0"/>
    <w:rPr>
      <w:color w:val="0563C1" w:themeColor="hyperlink"/>
      <w:u w:val="single"/>
    </w:rPr>
  </w:style>
  <w:style w:type="paragraph" w:styleId="Header">
    <w:name w:val="header"/>
    <w:basedOn w:val="Normal"/>
    <w:link w:val="HeaderChar"/>
    <w:uiPriority w:val="99"/>
    <w:unhideWhenUsed/>
    <w:rsid w:val="000B5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FA0"/>
    <w:rPr>
      <w:rFonts w:eastAsiaTheme="minorHAnsi"/>
      <w:lang w:eastAsia="en-US"/>
    </w:rPr>
  </w:style>
  <w:style w:type="paragraph" w:styleId="Footer">
    <w:name w:val="footer"/>
    <w:basedOn w:val="Normal"/>
    <w:link w:val="FooterChar"/>
    <w:uiPriority w:val="99"/>
    <w:unhideWhenUsed/>
    <w:rsid w:val="000B5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FA0"/>
    <w:rPr>
      <w:rFonts w:eastAsiaTheme="minorHAnsi"/>
      <w:lang w:eastAsia="en-US"/>
    </w:rPr>
  </w:style>
  <w:style w:type="table" w:customStyle="1" w:styleId="LightList-Accent11">
    <w:name w:val="Light List - Accent 11"/>
    <w:basedOn w:val="TableNormal"/>
    <w:uiPriority w:val="61"/>
    <w:rsid w:val="000B5FA0"/>
    <w:pPr>
      <w:spacing w:after="0" w:line="240" w:lineRule="auto"/>
    </w:pPr>
    <w:rPr>
      <w:rFonts w:eastAsiaTheme="minorHAnsi"/>
      <w:lang w:eastAsia="en-US" w:bidi="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CommentReference">
    <w:name w:val="annotation reference"/>
    <w:basedOn w:val="DefaultParagraphFont"/>
    <w:uiPriority w:val="99"/>
    <w:semiHidden/>
    <w:unhideWhenUsed/>
    <w:rsid w:val="00A429DB"/>
    <w:rPr>
      <w:sz w:val="16"/>
      <w:szCs w:val="16"/>
    </w:rPr>
  </w:style>
  <w:style w:type="paragraph" w:styleId="CommentText">
    <w:name w:val="annotation text"/>
    <w:basedOn w:val="Normal"/>
    <w:link w:val="CommentTextChar"/>
    <w:uiPriority w:val="99"/>
    <w:unhideWhenUsed/>
    <w:rsid w:val="00A429DB"/>
    <w:pPr>
      <w:spacing w:line="240" w:lineRule="auto"/>
    </w:pPr>
    <w:rPr>
      <w:sz w:val="20"/>
      <w:szCs w:val="20"/>
    </w:rPr>
  </w:style>
  <w:style w:type="character" w:customStyle="1" w:styleId="CommentTextChar">
    <w:name w:val="Comment Text Char"/>
    <w:basedOn w:val="DefaultParagraphFont"/>
    <w:link w:val="CommentText"/>
    <w:uiPriority w:val="99"/>
    <w:rsid w:val="00A429DB"/>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A429DB"/>
    <w:rPr>
      <w:b/>
      <w:bCs/>
    </w:rPr>
  </w:style>
  <w:style w:type="character" w:customStyle="1" w:styleId="CommentSubjectChar">
    <w:name w:val="Comment Subject Char"/>
    <w:basedOn w:val="CommentTextChar"/>
    <w:link w:val="CommentSubject"/>
    <w:uiPriority w:val="99"/>
    <w:semiHidden/>
    <w:rsid w:val="00A429DB"/>
    <w:rPr>
      <w:rFonts w:eastAsiaTheme="minorHAnsi"/>
      <w:b/>
      <w:bCs/>
      <w:sz w:val="20"/>
      <w:szCs w:val="20"/>
      <w:lang w:eastAsia="en-US"/>
    </w:rPr>
  </w:style>
  <w:style w:type="paragraph" w:styleId="BalloonText">
    <w:name w:val="Balloon Text"/>
    <w:basedOn w:val="Normal"/>
    <w:link w:val="BalloonTextChar"/>
    <w:uiPriority w:val="99"/>
    <w:semiHidden/>
    <w:unhideWhenUsed/>
    <w:rsid w:val="00A42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9DB"/>
    <w:rPr>
      <w:rFonts w:ascii="Segoe UI" w:eastAsiaTheme="minorHAns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FA0"/>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5FA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FA0"/>
    <w:pPr>
      <w:spacing w:after="200" w:line="276" w:lineRule="auto"/>
      <w:ind w:left="720"/>
      <w:contextualSpacing/>
      <w:jc w:val="both"/>
    </w:pPr>
    <w:rPr>
      <w:lang w:bidi="en-US"/>
    </w:rPr>
  </w:style>
  <w:style w:type="paragraph" w:styleId="FootnoteText">
    <w:name w:val="footnote text"/>
    <w:basedOn w:val="Normal"/>
    <w:link w:val="FootnoteTextChar"/>
    <w:uiPriority w:val="99"/>
    <w:unhideWhenUsed/>
    <w:rsid w:val="000B5FA0"/>
    <w:pPr>
      <w:spacing w:after="0" w:line="240" w:lineRule="auto"/>
    </w:pPr>
    <w:rPr>
      <w:sz w:val="20"/>
      <w:szCs w:val="20"/>
    </w:rPr>
  </w:style>
  <w:style w:type="character" w:customStyle="1" w:styleId="FootnoteTextChar">
    <w:name w:val="Footnote Text Char"/>
    <w:basedOn w:val="DefaultParagraphFont"/>
    <w:link w:val="FootnoteText"/>
    <w:uiPriority w:val="99"/>
    <w:rsid w:val="000B5FA0"/>
    <w:rPr>
      <w:rFonts w:eastAsiaTheme="minorHAnsi"/>
      <w:sz w:val="20"/>
      <w:szCs w:val="20"/>
      <w:lang w:eastAsia="en-US"/>
    </w:rPr>
  </w:style>
  <w:style w:type="character" w:styleId="FootnoteReference">
    <w:name w:val="footnote reference"/>
    <w:basedOn w:val="DefaultParagraphFont"/>
    <w:uiPriority w:val="99"/>
    <w:unhideWhenUsed/>
    <w:rsid w:val="000B5FA0"/>
    <w:rPr>
      <w:vertAlign w:val="superscript"/>
    </w:rPr>
  </w:style>
  <w:style w:type="character" w:styleId="Hyperlink">
    <w:name w:val="Hyperlink"/>
    <w:basedOn w:val="DefaultParagraphFont"/>
    <w:uiPriority w:val="99"/>
    <w:unhideWhenUsed/>
    <w:rsid w:val="000B5FA0"/>
    <w:rPr>
      <w:color w:val="0563C1" w:themeColor="hyperlink"/>
      <w:u w:val="single"/>
    </w:rPr>
  </w:style>
  <w:style w:type="paragraph" w:styleId="Header">
    <w:name w:val="header"/>
    <w:basedOn w:val="Normal"/>
    <w:link w:val="HeaderChar"/>
    <w:uiPriority w:val="99"/>
    <w:unhideWhenUsed/>
    <w:rsid w:val="000B5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FA0"/>
    <w:rPr>
      <w:rFonts w:eastAsiaTheme="minorHAnsi"/>
      <w:lang w:eastAsia="en-US"/>
    </w:rPr>
  </w:style>
  <w:style w:type="paragraph" w:styleId="Footer">
    <w:name w:val="footer"/>
    <w:basedOn w:val="Normal"/>
    <w:link w:val="FooterChar"/>
    <w:uiPriority w:val="99"/>
    <w:unhideWhenUsed/>
    <w:rsid w:val="000B5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FA0"/>
    <w:rPr>
      <w:rFonts w:eastAsiaTheme="minorHAnsi"/>
      <w:lang w:eastAsia="en-US"/>
    </w:rPr>
  </w:style>
  <w:style w:type="table" w:customStyle="1" w:styleId="LightList-Accent11">
    <w:name w:val="Light List - Accent 11"/>
    <w:basedOn w:val="TableNormal"/>
    <w:uiPriority w:val="61"/>
    <w:rsid w:val="000B5FA0"/>
    <w:pPr>
      <w:spacing w:after="0" w:line="240" w:lineRule="auto"/>
    </w:pPr>
    <w:rPr>
      <w:rFonts w:eastAsiaTheme="minorHAnsi"/>
      <w:lang w:eastAsia="en-US" w:bidi="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CommentReference">
    <w:name w:val="annotation reference"/>
    <w:basedOn w:val="DefaultParagraphFont"/>
    <w:uiPriority w:val="99"/>
    <w:semiHidden/>
    <w:unhideWhenUsed/>
    <w:rsid w:val="00A429DB"/>
    <w:rPr>
      <w:sz w:val="16"/>
      <w:szCs w:val="16"/>
    </w:rPr>
  </w:style>
  <w:style w:type="paragraph" w:styleId="CommentText">
    <w:name w:val="annotation text"/>
    <w:basedOn w:val="Normal"/>
    <w:link w:val="CommentTextChar"/>
    <w:uiPriority w:val="99"/>
    <w:unhideWhenUsed/>
    <w:rsid w:val="00A429DB"/>
    <w:pPr>
      <w:spacing w:line="240" w:lineRule="auto"/>
    </w:pPr>
    <w:rPr>
      <w:sz w:val="20"/>
      <w:szCs w:val="20"/>
    </w:rPr>
  </w:style>
  <w:style w:type="character" w:customStyle="1" w:styleId="CommentTextChar">
    <w:name w:val="Comment Text Char"/>
    <w:basedOn w:val="DefaultParagraphFont"/>
    <w:link w:val="CommentText"/>
    <w:uiPriority w:val="99"/>
    <w:rsid w:val="00A429DB"/>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A429DB"/>
    <w:rPr>
      <w:b/>
      <w:bCs/>
    </w:rPr>
  </w:style>
  <w:style w:type="character" w:customStyle="1" w:styleId="CommentSubjectChar">
    <w:name w:val="Comment Subject Char"/>
    <w:basedOn w:val="CommentTextChar"/>
    <w:link w:val="CommentSubject"/>
    <w:uiPriority w:val="99"/>
    <w:semiHidden/>
    <w:rsid w:val="00A429DB"/>
    <w:rPr>
      <w:rFonts w:eastAsiaTheme="minorHAnsi"/>
      <w:b/>
      <w:bCs/>
      <w:sz w:val="20"/>
      <w:szCs w:val="20"/>
      <w:lang w:eastAsia="en-US"/>
    </w:rPr>
  </w:style>
  <w:style w:type="paragraph" w:styleId="BalloonText">
    <w:name w:val="Balloon Text"/>
    <w:basedOn w:val="Normal"/>
    <w:link w:val="BalloonTextChar"/>
    <w:uiPriority w:val="99"/>
    <w:semiHidden/>
    <w:unhideWhenUsed/>
    <w:rsid w:val="00A42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9DB"/>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67703">
      <w:bodyDiv w:val="1"/>
      <w:marLeft w:val="0"/>
      <w:marRight w:val="0"/>
      <w:marTop w:val="0"/>
      <w:marBottom w:val="0"/>
      <w:divBdr>
        <w:top w:val="none" w:sz="0" w:space="0" w:color="auto"/>
        <w:left w:val="none" w:sz="0" w:space="0" w:color="auto"/>
        <w:bottom w:val="none" w:sz="0" w:space="0" w:color="auto"/>
        <w:right w:val="none" w:sz="0" w:space="0" w:color="auto"/>
      </w:divBdr>
      <w:divsChild>
        <w:div w:id="49891533">
          <w:marLeft w:val="274"/>
          <w:marRight w:val="0"/>
          <w:marTop w:val="0"/>
          <w:marBottom w:val="0"/>
          <w:divBdr>
            <w:top w:val="none" w:sz="0" w:space="0" w:color="auto"/>
            <w:left w:val="none" w:sz="0" w:space="0" w:color="auto"/>
            <w:bottom w:val="none" w:sz="0" w:space="0" w:color="auto"/>
            <w:right w:val="none" w:sz="0" w:space="0" w:color="auto"/>
          </w:divBdr>
        </w:div>
      </w:divsChild>
    </w:div>
    <w:div w:id="528446437">
      <w:bodyDiv w:val="1"/>
      <w:marLeft w:val="0"/>
      <w:marRight w:val="0"/>
      <w:marTop w:val="0"/>
      <w:marBottom w:val="0"/>
      <w:divBdr>
        <w:top w:val="none" w:sz="0" w:space="0" w:color="auto"/>
        <w:left w:val="none" w:sz="0" w:space="0" w:color="auto"/>
        <w:bottom w:val="none" w:sz="0" w:space="0" w:color="auto"/>
        <w:right w:val="none" w:sz="0" w:space="0" w:color="auto"/>
      </w:divBdr>
    </w:div>
    <w:div w:id="587034384">
      <w:bodyDiv w:val="1"/>
      <w:marLeft w:val="0"/>
      <w:marRight w:val="0"/>
      <w:marTop w:val="0"/>
      <w:marBottom w:val="0"/>
      <w:divBdr>
        <w:top w:val="none" w:sz="0" w:space="0" w:color="auto"/>
        <w:left w:val="none" w:sz="0" w:space="0" w:color="auto"/>
        <w:bottom w:val="none" w:sz="0" w:space="0" w:color="auto"/>
        <w:right w:val="none" w:sz="0" w:space="0" w:color="auto"/>
      </w:divBdr>
      <w:divsChild>
        <w:div w:id="802891409">
          <w:marLeft w:val="274"/>
          <w:marRight w:val="0"/>
          <w:marTop w:val="0"/>
          <w:marBottom w:val="0"/>
          <w:divBdr>
            <w:top w:val="none" w:sz="0" w:space="0" w:color="auto"/>
            <w:left w:val="none" w:sz="0" w:space="0" w:color="auto"/>
            <w:bottom w:val="none" w:sz="0" w:space="0" w:color="auto"/>
            <w:right w:val="none" w:sz="0" w:space="0" w:color="auto"/>
          </w:divBdr>
        </w:div>
      </w:divsChild>
    </w:div>
    <w:div w:id="841505100">
      <w:bodyDiv w:val="1"/>
      <w:marLeft w:val="0"/>
      <w:marRight w:val="0"/>
      <w:marTop w:val="0"/>
      <w:marBottom w:val="0"/>
      <w:divBdr>
        <w:top w:val="none" w:sz="0" w:space="0" w:color="auto"/>
        <w:left w:val="none" w:sz="0" w:space="0" w:color="auto"/>
        <w:bottom w:val="none" w:sz="0" w:space="0" w:color="auto"/>
        <w:right w:val="none" w:sz="0" w:space="0" w:color="auto"/>
      </w:divBdr>
      <w:divsChild>
        <w:div w:id="556861842">
          <w:marLeft w:val="0"/>
          <w:marRight w:val="0"/>
          <w:marTop w:val="0"/>
          <w:marBottom w:val="0"/>
          <w:divBdr>
            <w:top w:val="none" w:sz="0" w:space="0" w:color="auto"/>
            <w:left w:val="none" w:sz="0" w:space="0" w:color="auto"/>
            <w:bottom w:val="none" w:sz="0" w:space="0" w:color="auto"/>
            <w:right w:val="none" w:sz="0" w:space="0" w:color="auto"/>
          </w:divBdr>
        </w:div>
        <w:div w:id="987562641">
          <w:marLeft w:val="0"/>
          <w:marRight w:val="0"/>
          <w:marTop w:val="0"/>
          <w:marBottom w:val="0"/>
          <w:divBdr>
            <w:top w:val="none" w:sz="0" w:space="0" w:color="auto"/>
            <w:left w:val="none" w:sz="0" w:space="0" w:color="auto"/>
            <w:bottom w:val="none" w:sz="0" w:space="0" w:color="auto"/>
            <w:right w:val="none" w:sz="0" w:space="0" w:color="auto"/>
          </w:divBdr>
        </w:div>
        <w:div w:id="2082755805">
          <w:marLeft w:val="0"/>
          <w:marRight w:val="0"/>
          <w:marTop w:val="0"/>
          <w:marBottom w:val="0"/>
          <w:divBdr>
            <w:top w:val="none" w:sz="0" w:space="0" w:color="auto"/>
            <w:left w:val="none" w:sz="0" w:space="0" w:color="auto"/>
            <w:bottom w:val="none" w:sz="0" w:space="0" w:color="auto"/>
            <w:right w:val="none" w:sz="0" w:space="0" w:color="auto"/>
          </w:divBdr>
        </w:div>
        <w:div w:id="1258098549">
          <w:marLeft w:val="0"/>
          <w:marRight w:val="0"/>
          <w:marTop w:val="0"/>
          <w:marBottom w:val="0"/>
          <w:divBdr>
            <w:top w:val="none" w:sz="0" w:space="0" w:color="auto"/>
            <w:left w:val="none" w:sz="0" w:space="0" w:color="auto"/>
            <w:bottom w:val="none" w:sz="0" w:space="0" w:color="auto"/>
            <w:right w:val="none" w:sz="0" w:space="0" w:color="auto"/>
          </w:divBdr>
        </w:div>
        <w:div w:id="177161043">
          <w:marLeft w:val="0"/>
          <w:marRight w:val="0"/>
          <w:marTop w:val="0"/>
          <w:marBottom w:val="0"/>
          <w:divBdr>
            <w:top w:val="none" w:sz="0" w:space="0" w:color="auto"/>
            <w:left w:val="none" w:sz="0" w:space="0" w:color="auto"/>
            <w:bottom w:val="none" w:sz="0" w:space="0" w:color="auto"/>
            <w:right w:val="none" w:sz="0" w:space="0" w:color="auto"/>
          </w:divBdr>
        </w:div>
        <w:div w:id="1679771954">
          <w:marLeft w:val="0"/>
          <w:marRight w:val="0"/>
          <w:marTop w:val="0"/>
          <w:marBottom w:val="0"/>
          <w:divBdr>
            <w:top w:val="none" w:sz="0" w:space="0" w:color="auto"/>
            <w:left w:val="none" w:sz="0" w:space="0" w:color="auto"/>
            <w:bottom w:val="none" w:sz="0" w:space="0" w:color="auto"/>
            <w:right w:val="none" w:sz="0" w:space="0" w:color="auto"/>
          </w:divBdr>
        </w:div>
      </w:divsChild>
    </w:div>
    <w:div w:id="2083404733">
      <w:bodyDiv w:val="1"/>
      <w:marLeft w:val="0"/>
      <w:marRight w:val="0"/>
      <w:marTop w:val="0"/>
      <w:marBottom w:val="0"/>
      <w:divBdr>
        <w:top w:val="none" w:sz="0" w:space="0" w:color="auto"/>
        <w:left w:val="none" w:sz="0" w:space="0" w:color="auto"/>
        <w:bottom w:val="none" w:sz="0" w:space="0" w:color="auto"/>
        <w:right w:val="none" w:sz="0" w:space="0" w:color="auto"/>
      </w:divBdr>
      <w:divsChild>
        <w:div w:id="29217961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dp.org/DREI" TargetMode="External"/><Relationship Id="rId18" Type="http://schemas.openxmlformats.org/officeDocument/2006/relationships/fontTable" Target="fontTable.xml"/><Relationship Id="rId26" Type="http://schemas.openxmlformats.org/officeDocument/2006/relationships/customXml" Target="../customXml/item4.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people" Target="people.xml"/><Relationship Id="rId28" Type="http://schemas.openxmlformats.org/officeDocument/2006/relationships/customXml" Target="../customXml/item6.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microsoft.com/office/2011/relationships/commentsExtended" Target="commentsExtended.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ed4137b-41b2-488b-8250-6d369ec27664">
      <Value>763</Value>
      <Value>438</Value>
      <Value>233</Value>
      <Value>1522</Value>
      <Value>1545</Value>
      <Value>1107</Value>
    </TaxCatchAl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2023-02-03T10:00:00+00:00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Mali</TermName>
          <TermId xmlns="http://schemas.microsoft.com/office/infopath/2007/PartnerControls">60b115b0-b60b-4fa6-9a61-ae1e779981bf</TermId>
        </TermInfo>
      </Terms>
    </UNDPCountryTaxHTField0>
    <UndpOUCode xmlns="1ed4137b-41b2-488b-8250-6d369ec27664">MLI</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Access to sustainable energy services</TermName>
          <TermId xmlns="http://schemas.microsoft.com/office/infopath/2007/PartnerControls">836323cb-64cf-46a9-b865-79203b3b1dd6</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2022-12-31T05:00:00+00:00</Document_x0020_Coverage_x0020_Period_x0020_Start_x0020_Date>
    <Document_x0020_Coverage_x0020_Period_x0020_End_x0020_Date xmlns="f1161f5b-24a3-4c2d-bc81-44cb9325e8ee">2022-12-31T05:00:00+00:00</Document_x0020_Coverage_x0020_Period_x0020_End_x0020_Date>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00134496</UndpProjectNo>
    <UndpDocStatus xmlns="1ed4137b-41b2-488b-8250-6d369ec27664">Final</UndpDocStatus>
    <Outcome1 xmlns="f1161f5b-24a3-4c2d-bc81-44cb9325e8ee">00126056</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MLI</TermName>
          <TermId xmlns="http://schemas.microsoft.com/office/infopath/2007/PartnerControls">7a870009-9966-4078-9dda-f4f8eecee481</TermId>
        </TermInfo>
      </Terms>
    </gc6531b704974d528487414686b72f6f>
    <_dlc_DocId xmlns="f1161f5b-24a3-4c2d-bc81-44cb9325e8ee">ATLASPDC-4-168688</_dlc_DocId>
    <_dlc_DocIdUrl xmlns="f1161f5b-24a3-4c2d-bc81-44cb9325e8ee">
      <Url>https://info.undp.org/docs/pdc/_layouts/DocIdRedir.aspx?ID=ATLASPDC-4-168688</Url>
      <Description>ATLASPDC-4-168688</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8310F0A-B7E2-41C0-B02B-E02F6637A76F}">
  <ds:schemaRefs>
    <ds:schemaRef ds:uri="http://schemas.openxmlformats.org/officeDocument/2006/bibliography"/>
  </ds:schemaRefs>
</ds:datastoreItem>
</file>

<file path=customXml/itemProps2.xml><?xml version="1.0" encoding="utf-8"?>
<ds:datastoreItem xmlns:ds="http://schemas.openxmlformats.org/officeDocument/2006/customXml" ds:itemID="{DE62BEA4-826A-48E6-AFBD-C596BC03D871}"/>
</file>

<file path=customXml/itemProps3.xml><?xml version="1.0" encoding="utf-8"?>
<ds:datastoreItem xmlns:ds="http://schemas.openxmlformats.org/officeDocument/2006/customXml" ds:itemID="{4C329939-732C-4A2D-89CD-BD62CDC87232}"/>
</file>

<file path=customXml/itemProps4.xml><?xml version="1.0" encoding="utf-8"?>
<ds:datastoreItem xmlns:ds="http://schemas.openxmlformats.org/officeDocument/2006/customXml" ds:itemID="{A93D0686-5B55-4B32-A86A-F643AB0E3AFD}"/>
</file>

<file path=customXml/itemProps5.xml><?xml version="1.0" encoding="utf-8"?>
<ds:datastoreItem xmlns:ds="http://schemas.openxmlformats.org/officeDocument/2006/customXml" ds:itemID="{78EEA771-0072-4273-B5C3-4E24EDB78EFA}"/>
</file>

<file path=customXml/itemProps6.xml><?xml version="1.0" encoding="utf-8"?>
<ds:datastoreItem xmlns:ds="http://schemas.openxmlformats.org/officeDocument/2006/customXml" ds:itemID="{9EBF9575-6705-4DC0-B0A3-22051717BA73}"/>
</file>

<file path=docProps/app.xml><?xml version="1.0" encoding="utf-8"?>
<Properties xmlns="http://schemas.openxmlformats.org/officeDocument/2006/extended-properties" xmlns:vt="http://schemas.openxmlformats.org/officeDocument/2006/docPropsVTypes">
  <Template>Normal</Template>
  <TotalTime>0</TotalTime>
  <Pages>5</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Mali:Atténuation des risques des investissements dans les énergies renouvelables</dc:title>
  <dc:subject/>
  <dc:creator>consultants</dc:creator>
  <cp:lastModifiedBy>Acer</cp:lastModifiedBy>
  <cp:revision>2</cp:revision>
  <dcterms:created xsi:type="dcterms:W3CDTF">2022-09-20T09:13:00Z</dcterms:created>
  <dcterms:modified xsi:type="dcterms:W3CDTF">2022-09-20T09:13:00Z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1545;#Mali|60b115b0-b60b-4fa6-9a61-ae1e779981bf</vt:lpwstr>
  </property>
  <property fmtid="{D5CDD505-2E9C-101B-9397-08002B2CF9AE}" pid="4" name="UndpDocTypeMM">
    <vt:lpwstr/>
  </property>
  <property fmtid="{D5CDD505-2E9C-101B-9397-08002B2CF9AE}" pid="5" name="UNDPDocumentCategory">
    <vt:lpwstr/>
  </property>
  <property fmtid="{D5CDD505-2E9C-101B-9397-08002B2CF9AE}" pid="6" name="UN Languages">
    <vt:lpwstr>233;#French|946783f8-cd0b-41e2-848e-7777f631248e</vt:lpwstr>
  </property>
  <property fmtid="{D5CDD505-2E9C-101B-9397-08002B2CF9AE}" pid="7" name="Operating Unit0">
    <vt:lpwstr>1522;#MLI|7a870009-9966-4078-9dda-f4f8eecee481</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438;#Access to sustainable energy services|836323cb-64cf-46a9-b865-79203b3b1dd6</vt:lpwstr>
  </property>
  <property fmtid="{D5CDD505-2E9C-101B-9397-08002B2CF9AE}" pid="13" name="_dlc_DocIdItemGuid">
    <vt:lpwstr>2870580b-1f72-4fc0-9414-9bb908598948</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